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ascii="宋体" w:hAnsi="宋体" w:cs="宋体"/>
          <w:szCs w:val="21"/>
        </w:rPr>
      </w:pPr>
      <w:r>
        <w:rPr>
          <w:rFonts w:ascii="宋体" w:hAnsi="宋体" w:cs="宋体"/>
          <w:szCs w:val="21"/>
        </w:rPr>
        <w:t xml:space="preserve">证券代码：000881                证券简称：中广核技           </w:t>
      </w:r>
      <w:r>
        <w:rPr>
          <w:szCs w:val="21"/>
        </w:rPr>
        <w:t xml:space="preserve">     公告编号：2024-028</w:t>
      </w:r>
    </w:p>
    <w:p>
      <w:pPr>
        <w:spacing w:after="1000" w:line="400" w:lineRule="exact"/>
        <w:jc w:val="center"/>
        <w:rPr>
          <w:rFonts w:ascii="宋体" w:hAnsi="宋体" w:cs="宋体"/>
          <w:b/>
          <w:bCs/>
          <w:sz w:val="36"/>
          <w:szCs w:val="36"/>
        </w:rPr>
      </w:pPr>
      <w:r>
        <w:rPr>
          <w:rFonts w:ascii="宋体" w:hAnsi="宋体" w:cs="宋体"/>
          <w:b/>
          <w:bCs/>
          <w:sz w:val="36"/>
          <w:szCs w:val="36"/>
        </w:rPr>
        <w:t>中广核核技术发展股份有限公司2023年年度报告摘要</w:t>
      </w:r>
    </w:p>
    <w:p>
      <w:pPr>
        <w:keepNext/>
        <w:keepLines/>
        <w:spacing w:before="300" w:after="300" w:line="320" w:lineRule="exact"/>
        <w:jc w:val="left"/>
        <w:outlineLvl w:val="1"/>
        <w:rPr>
          <w:rFonts w:ascii="宋体" w:hAnsi="宋体" w:cs="宋体"/>
          <w:b/>
          <w:bCs/>
          <w:sz w:val="24"/>
          <w:szCs w:val="24"/>
        </w:rPr>
      </w:pPr>
      <w:bookmarkStart w:id="0" w:name="_Toc988889"/>
      <w:r>
        <w:rPr>
          <w:rFonts w:ascii="宋体" w:hAnsi="宋体" w:cs="宋体"/>
          <w:b/>
          <w:bCs/>
          <w:sz w:val="24"/>
          <w:szCs w:val="24"/>
        </w:rPr>
        <w:t>一、重要提示</w:t>
      </w:r>
      <w:bookmarkEnd w:id="0"/>
    </w:p>
    <w:p>
      <w:pPr>
        <w:spacing w:before="100" w:after="100" w:line="240" w:lineRule="exact"/>
        <w:jc w:val="left"/>
        <w:rPr>
          <w:rFonts w:ascii="宋体" w:hAnsi="宋体" w:cs="宋体"/>
          <w:sz w:val="18"/>
          <w:szCs w:val="18"/>
        </w:rPr>
      </w:pPr>
      <w:r>
        <w:rPr>
          <w:rFonts w:ascii="宋体" w:hAnsi="宋体" w:cs="宋体"/>
          <w:sz w:val="18"/>
          <w:szCs w:val="18"/>
        </w:rPr>
        <w:t>本年度报告摘要来自年度报告全文，为全面了解本公司的经营成果、财务状况及未来发展规划，投资者应当到证监会指定媒体仔细阅读年度报告全文。</w:t>
      </w:r>
    </w:p>
    <w:p>
      <w:pPr>
        <w:spacing w:before="100" w:after="100" w:line="240" w:lineRule="exact"/>
        <w:jc w:val="left"/>
        <w:rPr>
          <w:rFonts w:ascii="宋体" w:hAnsi="宋体" w:cs="宋体"/>
          <w:sz w:val="18"/>
          <w:szCs w:val="18"/>
        </w:rPr>
      </w:pPr>
      <w:r>
        <w:rPr>
          <w:rFonts w:ascii="宋体" w:hAnsi="宋体" w:cs="宋体"/>
          <w:sz w:val="18"/>
          <w:szCs w:val="18"/>
        </w:rPr>
        <w:t>所有董事均已出席了审议本报告的董事会会议。</w:t>
      </w:r>
    </w:p>
    <w:p>
      <w:pPr>
        <w:spacing w:before="100" w:after="100" w:line="240" w:lineRule="exact"/>
        <w:jc w:val="left"/>
        <w:rPr>
          <w:rFonts w:ascii="宋体" w:hAnsi="宋体" w:cs="宋体"/>
          <w:sz w:val="18"/>
          <w:szCs w:val="18"/>
        </w:rPr>
      </w:pPr>
      <w:r>
        <w:rPr>
          <w:rFonts w:ascii="宋体" w:hAnsi="宋体" w:cs="宋体"/>
          <w:sz w:val="18"/>
          <w:szCs w:val="18"/>
        </w:rPr>
        <w:t>非标准审计意见提示</w:t>
      </w:r>
    </w:p>
    <w:p>
      <w:pPr>
        <w:spacing w:before="100" w:after="100" w:line="240" w:lineRule="exact"/>
        <w:jc w:val="left"/>
        <w:rPr>
          <w:rFonts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pPr>
        <w:spacing w:before="100" w:after="100" w:line="240" w:lineRule="exact"/>
        <w:jc w:val="left"/>
        <w:rPr>
          <w:rFonts w:ascii="宋体" w:hAnsi="宋体" w:cs="宋体"/>
          <w:sz w:val="18"/>
          <w:szCs w:val="18"/>
        </w:rPr>
      </w:pPr>
      <w:r>
        <w:rPr>
          <w:rFonts w:ascii="宋体" w:hAnsi="宋体" w:cs="宋体"/>
          <w:sz w:val="18"/>
          <w:szCs w:val="18"/>
        </w:rPr>
        <w:t>董事会审议的报告期利润分配预案或公积金转增股本预案</w:t>
      </w:r>
    </w:p>
    <w:p>
      <w:pPr>
        <w:spacing w:before="100" w:after="100" w:line="240" w:lineRule="exact"/>
        <w:jc w:val="left"/>
        <w:rPr>
          <w:rFonts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pPr>
        <w:spacing w:before="100" w:after="100" w:line="240" w:lineRule="exact"/>
        <w:jc w:val="left"/>
        <w:rPr>
          <w:rFonts w:ascii="宋体" w:hAnsi="宋体" w:cs="宋体"/>
          <w:sz w:val="18"/>
          <w:szCs w:val="18"/>
        </w:rPr>
      </w:pPr>
      <w:r>
        <w:rPr>
          <w:rFonts w:ascii="宋体" w:hAnsi="宋体" w:cs="宋体"/>
          <w:sz w:val="18"/>
          <w:szCs w:val="18"/>
        </w:rPr>
        <w:t>公司计划不派发现金红利，不送红股，不以公积金转增股本。</w:t>
      </w:r>
    </w:p>
    <w:p>
      <w:pPr>
        <w:spacing w:before="100" w:after="100" w:line="240" w:lineRule="exact"/>
        <w:jc w:val="left"/>
        <w:rPr>
          <w:rFonts w:ascii="宋体" w:hAnsi="宋体" w:cs="宋体"/>
          <w:sz w:val="18"/>
          <w:szCs w:val="18"/>
        </w:rPr>
      </w:pPr>
      <w:r>
        <w:rPr>
          <w:rFonts w:ascii="宋体" w:hAnsi="宋体" w:cs="宋体"/>
          <w:sz w:val="18"/>
          <w:szCs w:val="18"/>
        </w:rPr>
        <w:t>董事会决议通过的本报告期优先股利润分配预案</w:t>
      </w:r>
    </w:p>
    <w:p>
      <w:pPr>
        <w:spacing w:before="100" w:after="100" w:line="240" w:lineRule="exact"/>
        <w:jc w:val="left"/>
        <w:rPr>
          <w:rFonts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0052"/>
      </w:r>
      <w:r>
        <w:rPr>
          <w:rFonts w:ascii="宋体" w:hAnsi="宋体" w:cs="宋体"/>
          <w:sz w:val="18"/>
          <w:szCs w:val="18"/>
        </w:rPr>
        <w:t>不适用</w:t>
      </w:r>
    </w:p>
    <w:p>
      <w:pPr>
        <w:keepNext/>
        <w:keepLines/>
        <w:spacing w:before="300" w:after="300" w:line="320" w:lineRule="exact"/>
        <w:jc w:val="left"/>
        <w:outlineLvl w:val="1"/>
        <w:rPr>
          <w:rFonts w:ascii="宋体" w:hAnsi="宋体" w:cs="宋体"/>
          <w:b/>
          <w:bCs/>
          <w:sz w:val="24"/>
          <w:szCs w:val="24"/>
        </w:rPr>
      </w:pPr>
      <w:bookmarkStart w:id="1" w:name="_Toc988890"/>
      <w:r>
        <w:rPr>
          <w:rFonts w:ascii="宋体" w:hAnsi="宋体" w:cs="宋体"/>
          <w:b/>
          <w:bCs/>
          <w:sz w:val="24"/>
          <w:szCs w:val="24"/>
        </w:rPr>
        <w:t>二、公司基本情况</w:t>
      </w:r>
      <w:bookmarkEnd w:id="1"/>
    </w:p>
    <w:p>
      <w:pPr>
        <w:keepNext/>
        <w:keepLines/>
        <w:spacing w:before="300" w:after="300" w:line="280" w:lineRule="exact"/>
        <w:jc w:val="left"/>
        <w:outlineLvl w:val="2"/>
        <w:rPr>
          <w:rFonts w:ascii="宋体" w:hAnsi="宋体" w:cs="宋体"/>
          <w:b/>
          <w:bCs/>
          <w:szCs w:val="21"/>
        </w:rPr>
      </w:pPr>
      <w:bookmarkStart w:id="2" w:name="_Toc988891"/>
      <w:r>
        <w:rPr>
          <w:rFonts w:ascii="宋体" w:hAnsi="宋体" w:cs="宋体"/>
          <w:b/>
          <w:bCs/>
          <w:szCs w:val="21"/>
        </w:rPr>
        <w:t>1、公司简介</w:t>
      </w:r>
      <w:bookmarkEnd w:id="2"/>
    </w:p>
    <w:tbl>
      <w:tblPr>
        <w:tblStyle w:val="4"/>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6"/>
        <w:gridCol w:w="3793"/>
        <w:gridCol w:w="1704"/>
        <w:gridCol w:w="967"/>
        <w:gridCol w:w="14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股票简称</w:t>
            </w:r>
          </w:p>
        </w:tc>
        <w:tc>
          <w:tcPr>
            <w:tcW w:w="5497"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中广核技</w:t>
            </w:r>
          </w:p>
        </w:tc>
        <w:tc>
          <w:tcPr>
            <w:tcW w:w="9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股票代码</w:t>
            </w: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000881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股票上市交易所</w:t>
            </w:r>
          </w:p>
        </w:tc>
        <w:tc>
          <w:tcPr>
            <w:tcW w:w="7944" w:type="dxa"/>
            <w:gridSpan w:val="4"/>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联系人和联系方式</w:t>
            </w:r>
          </w:p>
        </w:tc>
        <w:tc>
          <w:tcPr>
            <w:tcW w:w="37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董事会秘书</w:t>
            </w:r>
          </w:p>
        </w:tc>
        <w:tc>
          <w:tcPr>
            <w:tcW w:w="415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姓名</w:t>
            </w:r>
          </w:p>
        </w:tc>
        <w:tc>
          <w:tcPr>
            <w:tcW w:w="379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杨新春</w:t>
            </w:r>
          </w:p>
        </w:tc>
        <w:tc>
          <w:tcPr>
            <w:tcW w:w="4151"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吴卫卫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办公地址</w:t>
            </w:r>
          </w:p>
        </w:tc>
        <w:tc>
          <w:tcPr>
            <w:tcW w:w="379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深圳市福田区深南大道2002号中广核大厦北楼19层</w:t>
            </w:r>
          </w:p>
        </w:tc>
        <w:tc>
          <w:tcPr>
            <w:tcW w:w="4151"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深圳市福田区深南大道2002号中广核大厦北楼19层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传真</w:t>
            </w:r>
          </w:p>
        </w:tc>
        <w:tc>
          <w:tcPr>
            <w:tcW w:w="379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0755-84434946-619331</w:t>
            </w:r>
          </w:p>
        </w:tc>
        <w:tc>
          <w:tcPr>
            <w:tcW w:w="4151"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0755-84434946-619331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电话</w:t>
            </w:r>
          </w:p>
        </w:tc>
        <w:tc>
          <w:tcPr>
            <w:tcW w:w="379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0755-88619309</w:t>
            </w:r>
          </w:p>
        </w:tc>
        <w:tc>
          <w:tcPr>
            <w:tcW w:w="4151"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0755-88619309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电子信箱</w:t>
            </w:r>
          </w:p>
        </w:tc>
        <w:tc>
          <w:tcPr>
            <w:tcW w:w="379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yangxinchun@cgnpc.com.cn</w:t>
            </w:r>
          </w:p>
        </w:tc>
        <w:tc>
          <w:tcPr>
            <w:tcW w:w="4151"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jc w:val="left"/>
              <w:rPr>
                <w:sz w:val="18"/>
                <w:szCs w:val="18"/>
              </w:rPr>
            </w:pPr>
            <w:r>
              <w:rPr>
                <w:sz w:val="18"/>
                <w:szCs w:val="18"/>
              </w:rPr>
              <w:t>wuweiwei@cgnpc.com.cn</w:t>
            </w:r>
          </w:p>
        </w:tc>
      </w:tr>
    </w:tbl>
    <w:p>
      <w:pPr>
        <w:keepNext/>
        <w:keepLines/>
        <w:spacing w:before="300" w:after="300" w:line="280" w:lineRule="exact"/>
        <w:jc w:val="left"/>
        <w:outlineLvl w:val="2"/>
        <w:rPr>
          <w:rFonts w:ascii="宋体" w:hAnsi="宋体" w:cs="宋体"/>
          <w:b/>
          <w:bCs/>
          <w:szCs w:val="21"/>
        </w:rPr>
      </w:pPr>
      <w:bookmarkStart w:id="3" w:name="_Toc988892"/>
      <w:r>
        <w:rPr>
          <w:rFonts w:ascii="宋体" w:hAnsi="宋体" w:cs="宋体"/>
          <w:b/>
          <w:bCs/>
          <w:szCs w:val="21"/>
        </w:rPr>
        <w:t>2、报告期主要业务或产品简介</w:t>
      </w:r>
      <w:bookmarkEnd w:id="3"/>
    </w:p>
    <w:p>
      <w:pPr>
        <w:pStyle w:val="3"/>
        <w:widowControl/>
        <w:spacing w:before="156" w:beforeAutospacing="0" w:after="156" w:afterAutospacing="0" w:line="360" w:lineRule="auto"/>
        <w:jc w:val="both"/>
        <w:rPr>
          <w:sz w:val="21"/>
          <w:szCs w:val="21"/>
        </w:rPr>
      </w:pPr>
      <w:r>
        <w:rPr>
          <w:rFonts w:hint="eastAsia" w:ascii="宋体" w:hAnsi="宋体" w:cs="宋体"/>
          <w:sz w:val="21"/>
          <w:szCs w:val="21"/>
        </w:rPr>
        <w:t>公司主要开展电子加速器研发与制造、电子束处理特种废物、辐照加工服务、新材料研发与制造以及医疗健康业务。</w:t>
      </w:r>
    </w:p>
    <w:p>
      <w:pPr>
        <w:pStyle w:val="3"/>
        <w:widowControl/>
        <w:spacing w:before="156" w:beforeAutospacing="0" w:after="156" w:afterAutospacing="0" w:line="360" w:lineRule="auto"/>
        <w:jc w:val="both"/>
        <w:rPr>
          <w:sz w:val="21"/>
          <w:szCs w:val="21"/>
        </w:rPr>
      </w:pPr>
      <w:r>
        <w:rPr>
          <w:rStyle w:val="6"/>
          <w:rFonts w:hint="eastAsia" w:ascii="宋体" w:hAnsi="宋体" w:cs="宋体"/>
          <w:bCs/>
          <w:sz w:val="21"/>
          <w:szCs w:val="21"/>
        </w:rPr>
        <w:t>电子加速器研发与制造</w:t>
      </w:r>
    </w:p>
    <w:p>
      <w:pPr>
        <w:pStyle w:val="3"/>
        <w:widowControl/>
        <w:spacing w:before="156" w:beforeAutospacing="0" w:after="156" w:afterAutospacing="0" w:line="360" w:lineRule="auto"/>
        <w:jc w:val="both"/>
        <w:rPr>
          <w:sz w:val="21"/>
          <w:szCs w:val="21"/>
        </w:rPr>
      </w:pPr>
      <w:r>
        <w:rPr>
          <w:rFonts w:hint="eastAsia" w:ascii="宋体" w:hAnsi="宋体" w:cs="宋体"/>
          <w:sz w:val="21"/>
          <w:szCs w:val="21"/>
        </w:rPr>
        <w:t>电子加速器领域，公司旗下子公司达胜公司，是公司践行</w:t>
      </w:r>
      <w:r>
        <w:rPr>
          <w:sz w:val="21"/>
          <w:szCs w:val="21"/>
        </w:rPr>
        <w:t>A+</w:t>
      </w:r>
      <w:r>
        <w:rPr>
          <w:rFonts w:hint="eastAsia" w:ascii="宋体" w:hAnsi="宋体" w:cs="宋体"/>
          <w:sz w:val="21"/>
          <w:szCs w:val="21"/>
        </w:rPr>
        <w:t>战略的重要平台。达胜公司是国际辐照联合会</w:t>
      </w:r>
      <w:r>
        <w:rPr>
          <w:sz w:val="21"/>
          <w:szCs w:val="21"/>
        </w:rPr>
        <w:t>(IIA)</w:t>
      </w:r>
      <w:r>
        <w:rPr>
          <w:rFonts w:hint="eastAsia" w:ascii="宋体" w:hAnsi="宋体" w:cs="宋体"/>
          <w:sz w:val="21"/>
          <w:szCs w:val="21"/>
        </w:rPr>
        <w:t>的会员单位，也是国家原子能机构核技术（电子束技术环境应用）研发中心；作为一家掌握电子加速器制造与研发关键核心技术的行业</w:t>
      </w:r>
      <w:r>
        <w:rPr>
          <w:sz w:val="21"/>
          <w:szCs w:val="21"/>
        </w:rPr>
        <w:t>“</w:t>
      </w:r>
      <w:r>
        <w:rPr>
          <w:rFonts w:hint="eastAsia" w:ascii="宋体" w:hAnsi="宋体" w:cs="宋体"/>
          <w:sz w:val="21"/>
          <w:szCs w:val="21"/>
        </w:rPr>
        <w:t>排头兵</w:t>
      </w:r>
      <w:r>
        <w:rPr>
          <w:sz w:val="21"/>
          <w:szCs w:val="21"/>
        </w:rPr>
        <w:t>”</w:t>
      </w:r>
      <w:r>
        <w:rPr>
          <w:rFonts w:hint="eastAsia" w:ascii="宋体" w:hAnsi="宋体" w:cs="宋体"/>
          <w:sz w:val="21"/>
          <w:szCs w:val="21"/>
        </w:rPr>
        <w:t>企业，达胜公司目前拥有</w:t>
      </w:r>
      <w:r>
        <w:rPr>
          <w:sz w:val="21"/>
          <w:szCs w:val="21"/>
        </w:rPr>
        <w:t>4</w:t>
      </w:r>
      <w:r>
        <w:rPr>
          <w:rFonts w:hint="eastAsia" w:ascii="宋体" w:hAnsi="宋体" w:cs="宋体"/>
          <w:sz w:val="21"/>
          <w:szCs w:val="21"/>
        </w:rPr>
        <w:t>个电子加速器生产基地，电子加速器设计产能达到</w:t>
      </w:r>
      <w:r>
        <w:rPr>
          <w:sz w:val="21"/>
          <w:szCs w:val="21"/>
        </w:rPr>
        <w:t>90</w:t>
      </w:r>
      <w:r>
        <w:rPr>
          <w:rFonts w:hint="eastAsia" w:ascii="宋体" w:hAnsi="宋体" w:cs="宋体"/>
          <w:sz w:val="21"/>
          <w:szCs w:val="21"/>
        </w:rPr>
        <w:t>台</w:t>
      </w:r>
      <w:r>
        <w:rPr>
          <w:sz w:val="21"/>
          <w:szCs w:val="21"/>
        </w:rPr>
        <w:t>/</w:t>
      </w:r>
      <w:r>
        <w:rPr>
          <w:rFonts w:hint="eastAsia" w:ascii="宋体" w:hAnsi="宋体" w:cs="宋体"/>
          <w:sz w:val="21"/>
          <w:szCs w:val="21"/>
        </w:rPr>
        <w:t>年，是国内最大的电子加速器研发制造企业之一，同时也是国内电子加速器细分领域内唯一一家制造业单项冠军企业。达胜公司的产品覆盖低、中、高能区，也是国内拥有电子加速器类型、结构形式、型号较全的公司，实现了电子加速器在辐照加工、材料改性、消毒灭菌、核农学、核环保以及无损检测等领域的应用，产品远销土耳其、韩国、泰国、越南、印度、美国、俄罗斯等</w:t>
      </w:r>
      <w:r>
        <w:rPr>
          <w:sz w:val="21"/>
          <w:szCs w:val="21"/>
        </w:rPr>
        <w:t>12</w:t>
      </w:r>
      <w:r>
        <w:rPr>
          <w:rFonts w:hint="eastAsia" w:ascii="宋体" w:hAnsi="宋体" w:cs="宋体"/>
          <w:sz w:val="21"/>
          <w:szCs w:val="21"/>
        </w:rPr>
        <w:t>个国家。</w:t>
      </w:r>
      <w:r>
        <w:rPr>
          <w:sz w:val="21"/>
          <w:szCs w:val="21"/>
        </w:rPr>
        <w:t>2023</w:t>
      </w:r>
      <w:r>
        <w:rPr>
          <w:rFonts w:hint="eastAsia" w:ascii="宋体" w:hAnsi="宋体" w:cs="宋体"/>
          <w:sz w:val="21"/>
          <w:szCs w:val="21"/>
        </w:rPr>
        <w:t>年，达胜公司聚焦先进制造，通过引进自动化装备提升生产效率，实现电子加速器的关键工艺和核心部件生产效率提高</w:t>
      </w:r>
      <w:r>
        <w:rPr>
          <w:sz w:val="21"/>
          <w:szCs w:val="21"/>
        </w:rPr>
        <w:t>50%</w:t>
      </w:r>
      <w:r>
        <w:rPr>
          <w:rFonts w:hint="eastAsia" w:ascii="宋体" w:hAnsi="宋体" w:cs="宋体"/>
          <w:sz w:val="21"/>
          <w:szCs w:val="21"/>
        </w:rPr>
        <w:t>；同时推进产品标准化建设，实现存量机型标准化覆盖率达到</w:t>
      </w:r>
      <w:r>
        <w:rPr>
          <w:sz w:val="21"/>
          <w:szCs w:val="21"/>
        </w:rPr>
        <w:t>100%</w:t>
      </w:r>
      <w:r>
        <w:rPr>
          <w:rFonts w:hint="eastAsia" w:ascii="宋体" w:hAnsi="宋体" w:cs="宋体"/>
          <w:sz w:val="21"/>
          <w:szCs w:val="21"/>
        </w:rPr>
        <w:t>。在电子加速器市场，达胜公司</w:t>
      </w:r>
      <w:r>
        <w:rPr>
          <w:sz w:val="21"/>
          <w:szCs w:val="21"/>
        </w:rPr>
        <w:t>2023</w:t>
      </w:r>
      <w:r>
        <w:rPr>
          <w:rFonts w:hint="eastAsia" w:ascii="宋体" w:hAnsi="宋体" w:cs="宋体"/>
          <w:sz w:val="21"/>
          <w:szCs w:val="21"/>
        </w:rPr>
        <w:t>年实现海外销售再创历史新高，在越南、俄罗斯实现了新区域市场突破；达胜公司的印尼医疗器械消毒灭菌合作项目获评“中国</w:t>
      </w:r>
      <w:r>
        <w:rPr>
          <w:sz w:val="21"/>
          <w:szCs w:val="21"/>
        </w:rPr>
        <w:t>-</w:t>
      </w:r>
      <w:r>
        <w:rPr>
          <w:rFonts w:hint="eastAsia" w:ascii="宋体" w:hAnsi="宋体" w:cs="宋体"/>
          <w:sz w:val="21"/>
          <w:szCs w:val="21"/>
        </w:rPr>
        <w:t>东盟和平利用核技术合作示范项目”。在加速器先进制造领域，积极开展核心零部件的研发与国产化替代，自主研发了用于</w:t>
      </w:r>
      <w:r>
        <w:rPr>
          <w:sz w:val="21"/>
          <w:szCs w:val="21"/>
        </w:rPr>
        <w:t>DD</w:t>
      </w:r>
      <w:r>
        <w:rPr>
          <w:rFonts w:hint="eastAsia" w:ascii="宋体" w:hAnsi="宋体" w:cs="宋体"/>
          <w:sz w:val="21"/>
          <w:szCs w:val="21"/>
        </w:rPr>
        <w:t>电子加速器的固态电源，使加速器的电能转化率由</w:t>
      </w:r>
      <w:r>
        <w:rPr>
          <w:sz w:val="21"/>
          <w:szCs w:val="21"/>
        </w:rPr>
        <w:t>63%</w:t>
      </w:r>
      <w:r>
        <w:rPr>
          <w:rFonts w:hint="eastAsia" w:ascii="宋体" w:hAnsi="宋体" w:cs="宋体"/>
          <w:sz w:val="21"/>
          <w:szCs w:val="21"/>
        </w:rPr>
        <w:t>提升到</w:t>
      </w:r>
      <w:r>
        <w:rPr>
          <w:sz w:val="21"/>
          <w:szCs w:val="21"/>
        </w:rPr>
        <w:t>85%</w:t>
      </w:r>
      <w:r>
        <w:rPr>
          <w:rFonts w:hint="eastAsia" w:ascii="宋体" w:hAnsi="宋体" w:cs="宋体"/>
          <w:sz w:val="21"/>
          <w:szCs w:val="21"/>
        </w:rPr>
        <w:t xml:space="preserve">；同步研发了用于 </w:t>
      </w:r>
      <w:r>
        <w:rPr>
          <w:sz w:val="21"/>
          <w:szCs w:val="21"/>
        </w:rPr>
        <w:t xml:space="preserve">DG </w:t>
      </w:r>
      <w:r>
        <w:rPr>
          <w:rFonts w:hint="eastAsia" w:ascii="宋体" w:hAnsi="宋体" w:cs="宋体"/>
          <w:sz w:val="21"/>
          <w:szCs w:val="21"/>
        </w:rPr>
        <w:t>电子加速器的中频电源，使该类型加速器电能转化率由</w:t>
      </w:r>
      <w:r>
        <w:rPr>
          <w:sz w:val="21"/>
          <w:szCs w:val="21"/>
        </w:rPr>
        <w:t>75</w:t>
      </w:r>
      <w:r>
        <w:rPr>
          <w:rFonts w:hint="eastAsia" w:ascii="宋体" w:hAnsi="宋体" w:cs="宋体"/>
          <w:sz w:val="21"/>
          <w:szCs w:val="21"/>
        </w:rPr>
        <w:t>％提升到</w:t>
      </w:r>
      <w:r>
        <w:rPr>
          <w:sz w:val="21"/>
          <w:szCs w:val="21"/>
        </w:rPr>
        <w:t>90%</w:t>
      </w:r>
      <w:r>
        <w:rPr>
          <w:rFonts w:hint="eastAsia" w:ascii="宋体" w:hAnsi="宋体" w:cs="宋体"/>
          <w:sz w:val="21"/>
          <w:szCs w:val="21"/>
        </w:rPr>
        <w:t>。达胜公司保持国内传统应用场景的加速器销售总量的基础上，在三新市场（指新行业市场、新项目市场、新产品市场）也取得销售突破，其中新研发的用于</w:t>
      </w:r>
      <w:r>
        <w:rPr>
          <w:sz w:val="21"/>
          <w:szCs w:val="21"/>
        </w:rPr>
        <w:t>EB</w:t>
      </w:r>
      <w:r>
        <w:rPr>
          <w:rFonts w:hint="eastAsia" w:ascii="宋体" w:hAnsi="宋体" w:cs="宋体"/>
          <w:sz w:val="21"/>
          <w:szCs w:val="21"/>
        </w:rPr>
        <w:t>固化和表面处理实验研究的桌面式单灯丝电子帘加速器已形成首台套销售，并通过客户验收；用于薄膜改性和辐照固化的多灯丝电子帘加速器已形成海外首销；新机型</w:t>
      </w:r>
      <w:r>
        <w:rPr>
          <w:sz w:val="21"/>
          <w:szCs w:val="21"/>
        </w:rPr>
        <w:t>DG2.0</w:t>
      </w:r>
      <w:r>
        <w:rPr>
          <w:rFonts w:hint="eastAsia" w:ascii="宋体" w:hAnsi="宋体" w:cs="宋体"/>
          <w:sz w:val="21"/>
          <w:szCs w:val="21"/>
        </w:rPr>
        <w:t>电子加速器也已实现销售，有力支撑了公司</w:t>
      </w:r>
      <w:r>
        <w:rPr>
          <w:sz w:val="21"/>
          <w:szCs w:val="21"/>
        </w:rPr>
        <w:t>2023</w:t>
      </w:r>
      <w:r>
        <w:rPr>
          <w:rFonts w:hint="eastAsia" w:ascii="宋体" w:hAnsi="宋体" w:cs="宋体"/>
          <w:sz w:val="21"/>
          <w:szCs w:val="21"/>
        </w:rPr>
        <w:t>年电子加速器的增量市场拓展。</w:t>
      </w:r>
      <w:r>
        <w:rPr>
          <w:sz w:val="21"/>
          <w:szCs w:val="21"/>
        </w:rPr>
        <w:t>2023</w:t>
      </w:r>
      <w:r>
        <w:rPr>
          <w:rFonts w:hint="eastAsia" w:ascii="宋体" w:hAnsi="宋体" w:cs="宋体"/>
          <w:sz w:val="21"/>
          <w:szCs w:val="21"/>
        </w:rPr>
        <w:t>年度，达胜公司累计完成申请专利</w:t>
      </w:r>
      <w:r>
        <w:rPr>
          <w:sz w:val="21"/>
          <w:szCs w:val="21"/>
        </w:rPr>
        <w:t>33</w:t>
      </w:r>
      <w:r>
        <w:rPr>
          <w:rFonts w:hint="eastAsia" w:ascii="宋体" w:hAnsi="宋体" w:cs="宋体"/>
          <w:sz w:val="21"/>
          <w:szCs w:val="21"/>
        </w:rPr>
        <w:t>项，其中受理发明专利</w:t>
      </w:r>
      <w:r>
        <w:rPr>
          <w:sz w:val="21"/>
          <w:szCs w:val="21"/>
        </w:rPr>
        <w:t>21</w:t>
      </w:r>
      <w:r>
        <w:rPr>
          <w:rFonts w:hint="eastAsia" w:ascii="宋体" w:hAnsi="宋体" w:cs="宋体"/>
          <w:sz w:val="21"/>
          <w:szCs w:val="21"/>
        </w:rPr>
        <w:t>项；推进国家标准、行业标准、团体标准及企业标准建设共计</w:t>
      </w:r>
      <w:r>
        <w:rPr>
          <w:sz w:val="21"/>
          <w:szCs w:val="21"/>
        </w:rPr>
        <w:t>8</w:t>
      </w:r>
      <w:r>
        <w:rPr>
          <w:rFonts w:hint="eastAsia" w:ascii="宋体" w:hAnsi="宋体" w:cs="宋体"/>
          <w:sz w:val="21"/>
          <w:szCs w:val="21"/>
        </w:rPr>
        <w:t>项，组织协调各参编单位完成标准编制各阶段任务。完成</w:t>
      </w:r>
      <w:r>
        <w:rPr>
          <w:sz w:val="21"/>
          <w:szCs w:val="21"/>
        </w:rPr>
        <w:t>T/CCAA 63</w:t>
      </w:r>
      <w:r>
        <w:rPr>
          <w:rFonts w:hint="eastAsia" w:ascii="宋体" w:hAnsi="宋体" w:cs="宋体"/>
          <w:sz w:val="21"/>
          <w:szCs w:val="21"/>
        </w:rPr>
        <w:t>—</w:t>
      </w:r>
      <w:r>
        <w:rPr>
          <w:sz w:val="21"/>
          <w:szCs w:val="21"/>
        </w:rPr>
        <w:t>2023</w:t>
      </w:r>
      <w:r>
        <w:rPr>
          <w:rFonts w:hint="eastAsia" w:ascii="宋体" w:hAnsi="宋体" w:cs="宋体"/>
          <w:sz w:val="21"/>
          <w:szCs w:val="21"/>
        </w:rPr>
        <w:t>《进口冷链食品包装电子束消毒技术规范》、</w:t>
      </w:r>
      <w:r>
        <w:rPr>
          <w:sz w:val="21"/>
          <w:szCs w:val="21"/>
        </w:rPr>
        <w:t>T/CNS 88-2022</w:t>
      </w:r>
      <w:r>
        <w:rPr>
          <w:rFonts w:hint="eastAsia" w:ascii="宋体" w:hAnsi="宋体" w:cs="宋体"/>
          <w:sz w:val="21"/>
          <w:szCs w:val="21"/>
        </w:rPr>
        <w:t>《电子束处理医疗污水技术规范》《高盐有机废水处理应用技术指南》</w:t>
      </w:r>
      <w:r>
        <w:rPr>
          <w:sz w:val="21"/>
          <w:szCs w:val="21"/>
        </w:rPr>
        <w:t>3</w:t>
      </w:r>
      <w:r>
        <w:rPr>
          <w:rFonts w:hint="eastAsia" w:ascii="宋体" w:hAnsi="宋体" w:cs="宋体"/>
          <w:sz w:val="21"/>
          <w:szCs w:val="21"/>
        </w:rPr>
        <w:t>项团标发布。达胜公司</w:t>
      </w:r>
      <w:r>
        <w:rPr>
          <w:sz w:val="21"/>
          <w:szCs w:val="21"/>
        </w:rPr>
        <w:t>2023</w:t>
      </w:r>
      <w:r>
        <w:rPr>
          <w:rFonts w:hint="eastAsia" w:ascii="宋体" w:hAnsi="宋体" w:cs="宋体"/>
          <w:sz w:val="21"/>
          <w:szCs w:val="21"/>
        </w:rPr>
        <w:t>年更是在</w:t>
      </w:r>
      <w:r>
        <w:rPr>
          <w:sz w:val="21"/>
          <w:szCs w:val="21"/>
        </w:rPr>
        <w:t>2022</w:t>
      </w:r>
      <w:r>
        <w:rPr>
          <w:rFonts w:hint="eastAsia" w:ascii="宋体" w:hAnsi="宋体" w:cs="宋体"/>
          <w:sz w:val="21"/>
          <w:szCs w:val="21"/>
        </w:rPr>
        <w:t>年各项资质基础上，再成功入选“江苏省现代服务业高质量发展领军企业”名单和</w:t>
      </w:r>
      <w:r>
        <w:rPr>
          <w:sz w:val="21"/>
          <w:szCs w:val="21"/>
        </w:rPr>
        <w:t>2023</w:t>
      </w:r>
      <w:r>
        <w:rPr>
          <w:rFonts w:hint="eastAsia" w:ascii="宋体" w:hAnsi="宋体" w:cs="宋体"/>
          <w:sz w:val="21"/>
          <w:szCs w:val="21"/>
        </w:rPr>
        <w:t>年度苏州市创新联合体名单。</w:t>
      </w:r>
    </w:p>
    <w:p>
      <w:pPr>
        <w:pStyle w:val="3"/>
        <w:widowControl/>
        <w:spacing w:before="156" w:beforeAutospacing="0" w:after="156" w:afterAutospacing="0" w:line="360" w:lineRule="auto"/>
        <w:jc w:val="both"/>
        <w:rPr>
          <w:sz w:val="21"/>
          <w:szCs w:val="21"/>
        </w:rPr>
      </w:pPr>
      <w:r>
        <w:rPr>
          <w:rStyle w:val="6"/>
          <w:rFonts w:hint="eastAsia" w:ascii="宋体" w:hAnsi="宋体" w:cs="宋体"/>
          <w:bCs/>
          <w:sz w:val="21"/>
          <w:szCs w:val="21"/>
        </w:rPr>
        <w:t>电子束处理特种废物</w:t>
      </w:r>
    </w:p>
    <w:p>
      <w:pPr>
        <w:pStyle w:val="3"/>
        <w:widowControl/>
        <w:spacing w:before="156" w:beforeAutospacing="0" w:after="156" w:afterAutospacing="0" w:line="360" w:lineRule="auto"/>
        <w:jc w:val="both"/>
        <w:rPr>
          <w:sz w:val="21"/>
          <w:szCs w:val="21"/>
        </w:rPr>
      </w:pPr>
      <w:r>
        <w:rPr>
          <w:rFonts w:hint="eastAsia" w:ascii="宋体" w:hAnsi="宋体" w:cs="宋体"/>
          <w:sz w:val="21"/>
          <w:szCs w:val="21"/>
        </w:rPr>
        <w:t>电子束处理特种废物领域，随着国内政策逐步加大生态环境保护、清洁生产、环境基础设施建设、资源利用、减污减排等领域的推进力度，对利用电子束处理特种废物的行业发展将起到积极推动作用。公司旗下子公司达胜科技，是一家拥有环保及市政设计乙级资质、环保承包贰级资质、机电及市政承包三级资质、环境污染防治工程总承包甲级资质、环保运营二级资质，集环境工程和环保设备的研究开发、生产制造、工程设计、工程管理、总承包、投资运营和咨询服务于一体的综合性科技公司，是公司打造电子束处理特种废物业务的重要平台。项目建设方面，公司</w:t>
      </w:r>
      <w:r>
        <w:rPr>
          <w:sz w:val="21"/>
          <w:szCs w:val="21"/>
        </w:rPr>
        <w:t>2023</w:t>
      </w:r>
      <w:r>
        <w:rPr>
          <w:rFonts w:hint="eastAsia" w:ascii="宋体" w:hAnsi="宋体" w:cs="宋体"/>
          <w:sz w:val="21"/>
          <w:szCs w:val="21"/>
        </w:rPr>
        <w:t>年在十大应用领域的示范项目已陆续建成并正式交付，为进一步加快推广应用创造了良好的条件。</w:t>
      </w:r>
    </w:p>
    <w:p>
      <w:pPr>
        <w:pStyle w:val="3"/>
        <w:widowControl/>
        <w:spacing w:before="156" w:beforeAutospacing="0" w:after="156" w:afterAutospacing="0" w:line="360" w:lineRule="auto"/>
        <w:jc w:val="both"/>
        <w:rPr>
          <w:sz w:val="21"/>
          <w:szCs w:val="21"/>
        </w:rPr>
      </w:pPr>
      <w:r>
        <w:rPr>
          <w:rStyle w:val="6"/>
          <w:rFonts w:hint="eastAsia" w:ascii="宋体" w:hAnsi="宋体" w:cs="宋体"/>
          <w:bCs/>
          <w:sz w:val="21"/>
          <w:szCs w:val="21"/>
        </w:rPr>
        <w:t>辐照加工服务</w:t>
      </w:r>
    </w:p>
    <w:p>
      <w:pPr>
        <w:pStyle w:val="3"/>
        <w:widowControl/>
        <w:spacing w:before="156" w:beforeAutospacing="0" w:after="156" w:afterAutospacing="0" w:line="360" w:lineRule="auto"/>
        <w:jc w:val="both"/>
        <w:rPr>
          <w:sz w:val="21"/>
          <w:szCs w:val="21"/>
        </w:rPr>
      </w:pPr>
      <w:r>
        <w:rPr>
          <w:rFonts w:hint="eastAsia" w:ascii="宋体" w:hAnsi="宋体" w:cs="宋体"/>
          <w:sz w:val="21"/>
          <w:szCs w:val="21"/>
        </w:rPr>
        <w:t>辐照加工领域，公司拥有辐照站点建设运营，辐照材料改性和辐照消毒灭菌服务的完整业务模式。</w:t>
      </w:r>
      <w:r>
        <w:rPr>
          <w:sz w:val="21"/>
          <w:szCs w:val="21"/>
        </w:rPr>
        <w:t>2023</w:t>
      </w:r>
      <w:r>
        <w:rPr>
          <w:rFonts w:hint="eastAsia" w:ascii="宋体" w:hAnsi="宋体" w:cs="宋体"/>
          <w:sz w:val="21"/>
          <w:szCs w:val="21"/>
        </w:rPr>
        <w:t>年，公司在国内拥有辐照中心</w:t>
      </w:r>
      <w:r>
        <w:rPr>
          <w:sz w:val="21"/>
          <w:szCs w:val="21"/>
        </w:rPr>
        <w:t>18</w:t>
      </w:r>
      <w:r>
        <w:rPr>
          <w:rFonts w:hint="eastAsia" w:ascii="宋体" w:hAnsi="宋体" w:cs="宋体"/>
          <w:sz w:val="21"/>
          <w:szCs w:val="21"/>
        </w:rPr>
        <w:t>座，布局电子加速器</w:t>
      </w:r>
      <w:r>
        <w:rPr>
          <w:sz w:val="21"/>
          <w:szCs w:val="21"/>
        </w:rPr>
        <w:t>62</w:t>
      </w:r>
      <w:r>
        <w:rPr>
          <w:rFonts w:hint="eastAsia" w:ascii="宋体" w:hAnsi="宋体" w:cs="宋体"/>
          <w:sz w:val="21"/>
          <w:szCs w:val="21"/>
        </w:rPr>
        <w:t>台，总功率超过</w:t>
      </w:r>
      <w:r>
        <w:rPr>
          <w:sz w:val="21"/>
          <w:szCs w:val="21"/>
        </w:rPr>
        <w:t>5,235</w:t>
      </w:r>
      <w:r>
        <w:rPr>
          <w:rFonts w:hint="eastAsia" w:ascii="宋体" w:hAnsi="宋体" w:cs="宋体"/>
          <w:sz w:val="21"/>
          <w:szCs w:val="21"/>
        </w:rPr>
        <w:t>千瓦；在业务布局上，公司以长三角、珠三角地区为中心，向周边地区拓展，形成了华南、华中、华东、安徽以及西南的五大运营中心布局，完成了业务战略卡位，为公司辐照加工业务的后续稳定发展打下了坚实基础。公司重点提供医疗保健产品、卫生材料、医疗器械、药品包装、食品及宠物饲料等消毒灭菌、保鲜加工服务，以及电线电缆、片材、热缩材料、半导体等辐照材料改性服务。</w:t>
      </w:r>
      <w:r>
        <w:rPr>
          <w:sz w:val="21"/>
          <w:szCs w:val="21"/>
        </w:rPr>
        <w:t>2023</w:t>
      </w:r>
      <w:r>
        <w:rPr>
          <w:rFonts w:hint="eastAsia" w:ascii="宋体" w:hAnsi="宋体" w:cs="宋体"/>
          <w:sz w:val="21"/>
          <w:szCs w:val="21"/>
        </w:rPr>
        <w:t>年，公司新投运的上海青浦辐照站点，实现地纳米加速器配置四进四出双工位，双束下系统，线速度常用最高速度为</w:t>
      </w:r>
      <w:r>
        <w:rPr>
          <w:sz w:val="21"/>
          <w:szCs w:val="21"/>
        </w:rPr>
        <w:t>500m/min</w:t>
      </w:r>
      <w:r>
        <w:rPr>
          <w:rFonts w:hint="eastAsia" w:ascii="宋体" w:hAnsi="宋体" w:cs="宋体"/>
          <w:sz w:val="21"/>
          <w:szCs w:val="21"/>
        </w:rPr>
        <w:t>，单日产能达到</w:t>
      </w:r>
      <w:r>
        <w:rPr>
          <w:sz w:val="21"/>
          <w:szCs w:val="21"/>
        </w:rPr>
        <w:t>2,000KM</w:t>
      </w:r>
      <w:r>
        <w:rPr>
          <w:rFonts w:hint="eastAsia" w:ascii="宋体" w:hAnsi="宋体" w:cs="宋体"/>
          <w:sz w:val="21"/>
          <w:szCs w:val="21"/>
        </w:rPr>
        <w:t>以上，远优于行业平均水平（单日</w:t>
      </w:r>
      <w:r>
        <w:rPr>
          <w:sz w:val="21"/>
          <w:szCs w:val="21"/>
        </w:rPr>
        <w:t>800-1,000KM</w:t>
      </w:r>
      <w:r>
        <w:rPr>
          <w:rFonts w:hint="eastAsia" w:ascii="宋体" w:hAnsi="宋体" w:cs="宋体"/>
          <w:sz w:val="21"/>
          <w:szCs w:val="21"/>
        </w:rPr>
        <w:t>），设备效率提升</w:t>
      </w:r>
      <w:r>
        <w:rPr>
          <w:sz w:val="21"/>
          <w:szCs w:val="21"/>
        </w:rPr>
        <w:t>100%</w:t>
      </w:r>
      <w:r>
        <w:rPr>
          <w:rFonts w:hint="eastAsia" w:ascii="宋体" w:hAnsi="宋体" w:cs="宋体"/>
          <w:sz w:val="21"/>
          <w:szCs w:val="21"/>
        </w:rPr>
        <w:t>，具备打造行业标杆站点的水平。</w:t>
      </w:r>
    </w:p>
    <w:p>
      <w:pPr>
        <w:pStyle w:val="3"/>
        <w:widowControl/>
        <w:spacing w:before="156" w:beforeAutospacing="0" w:after="156" w:afterAutospacing="0" w:line="360" w:lineRule="auto"/>
        <w:jc w:val="both"/>
        <w:rPr>
          <w:sz w:val="21"/>
          <w:szCs w:val="21"/>
        </w:rPr>
      </w:pPr>
      <w:r>
        <w:rPr>
          <w:rStyle w:val="6"/>
          <w:rFonts w:hint="eastAsia" w:ascii="宋体" w:hAnsi="宋体" w:cs="宋体"/>
          <w:bCs/>
          <w:sz w:val="21"/>
          <w:szCs w:val="21"/>
        </w:rPr>
        <w:t>新材料研发与制造</w:t>
      </w:r>
    </w:p>
    <w:p>
      <w:pPr>
        <w:pStyle w:val="3"/>
        <w:widowControl/>
        <w:spacing w:beforeAutospacing="0" w:afterAutospacing="0" w:line="360" w:lineRule="auto"/>
        <w:jc w:val="both"/>
        <w:rPr>
          <w:sz w:val="21"/>
          <w:szCs w:val="21"/>
        </w:rPr>
      </w:pPr>
      <w:r>
        <w:rPr>
          <w:rFonts w:hint="eastAsia" w:ascii="宋体" w:hAnsi="宋体" w:cs="宋体"/>
          <w:sz w:val="21"/>
          <w:szCs w:val="21"/>
        </w:rPr>
        <w:t>新材料领域，公司深耕改性材料行业三十多年，品牌影响力较强，在线缆料领域稳居行业前三位，其中光通信材料居国内龙头地位，汽车密封条、建筑用防水卷材料、航天航空用大飞机料等材料处于国内领先水平；同时是中国工业电器用高性能尼龙等系列材料的重要供应商，中高端车用改性塑料主流供应商，行业内细分领域传统产品市场占有率较高；传统产品技术优势领先，如低压电器、</w:t>
      </w:r>
      <w:r>
        <w:rPr>
          <w:sz w:val="21"/>
          <w:szCs w:val="21"/>
        </w:rPr>
        <w:t>LED</w:t>
      </w:r>
      <w:r>
        <w:rPr>
          <w:rFonts w:hint="eastAsia" w:ascii="宋体" w:hAnsi="宋体" w:cs="宋体"/>
          <w:sz w:val="21"/>
          <w:szCs w:val="21"/>
        </w:rPr>
        <w:t>照明材料等，在辐照交联尼龙产品领域则填补了国内空白。</w:t>
      </w:r>
      <w:r>
        <w:rPr>
          <w:sz w:val="21"/>
          <w:szCs w:val="21"/>
        </w:rPr>
        <w:t>2023</w:t>
      </w:r>
      <w:r>
        <w:rPr>
          <w:rFonts w:hint="eastAsia" w:ascii="宋体" w:hAnsi="宋体" w:cs="宋体"/>
          <w:sz w:val="21"/>
          <w:szCs w:val="21"/>
        </w:rPr>
        <w:t>年，公司全面推进新材料业务的转型升级，积极调整新材料业务的产品结构。高新核材推动下一代聚丙烯绝缘料（</w:t>
      </w:r>
      <w:r>
        <w:rPr>
          <w:sz w:val="21"/>
          <w:szCs w:val="21"/>
        </w:rPr>
        <w:t>PP</w:t>
      </w:r>
      <w:r>
        <w:rPr>
          <w:rFonts w:hint="eastAsia" w:ascii="宋体" w:hAnsi="宋体" w:cs="宋体"/>
          <w:sz w:val="21"/>
          <w:szCs w:val="21"/>
        </w:rPr>
        <w:t>）再获突破，</w:t>
      </w:r>
      <w:r>
        <w:rPr>
          <w:sz w:val="21"/>
          <w:szCs w:val="21"/>
        </w:rPr>
        <w:t>8.7/15kV</w:t>
      </w:r>
      <w:r>
        <w:rPr>
          <w:rFonts w:hint="eastAsia" w:ascii="宋体" w:hAnsi="宋体" w:cs="宋体"/>
          <w:sz w:val="21"/>
          <w:szCs w:val="21"/>
        </w:rPr>
        <w:t>中压聚丙烯绝缘电缆通过试验，即将在南网并网运行；</w:t>
      </w:r>
      <w:r>
        <w:rPr>
          <w:sz w:val="21"/>
          <w:szCs w:val="21"/>
        </w:rPr>
        <w:t>26/35kV</w:t>
      </w:r>
      <w:r>
        <w:rPr>
          <w:rFonts w:hint="eastAsia" w:ascii="宋体" w:hAnsi="宋体" w:cs="宋体"/>
          <w:sz w:val="21"/>
          <w:szCs w:val="21"/>
        </w:rPr>
        <w:t>海缆用聚丙烯绝缘料已通过宁波东方试用；而</w:t>
      </w:r>
      <w:r>
        <w:rPr>
          <w:sz w:val="21"/>
          <w:szCs w:val="21"/>
        </w:rPr>
        <w:t>2022</w:t>
      </w:r>
      <w:r>
        <w:rPr>
          <w:rFonts w:hint="eastAsia" w:ascii="宋体" w:hAnsi="宋体" w:cs="宋体"/>
          <w:sz w:val="21"/>
          <w:szCs w:val="21"/>
        </w:rPr>
        <w:t>年生产的国内首条新能源风电用聚丙烯绝缘电缆已安全并网运行</w:t>
      </w:r>
      <w:r>
        <w:rPr>
          <w:sz w:val="21"/>
          <w:szCs w:val="21"/>
        </w:rPr>
        <w:t>1</w:t>
      </w:r>
      <w:r>
        <w:rPr>
          <w:rFonts w:hint="eastAsia" w:ascii="宋体" w:hAnsi="宋体" w:cs="宋体"/>
          <w:sz w:val="21"/>
          <w:szCs w:val="21"/>
        </w:rPr>
        <w:t>年；至此，聚丙烯绝缘料产品已实现多种用途，覆盖多种电压等级。下属子公司俊尔公司获评国家级专精特新</w:t>
      </w:r>
      <w:r>
        <w:rPr>
          <w:sz w:val="21"/>
          <w:szCs w:val="21"/>
        </w:rPr>
        <w:t>“</w:t>
      </w:r>
      <w:r>
        <w:rPr>
          <w:rFonts w:hint="eastAsia" w:ascii="宋体" w:hAnsi="宋体" w:cs="宋体"/>
          <w:sz w:val="21"/>
          <w:szCs w:val="21"/>
        </w:rPr>
        <w:t>小巨人</w:t>
      </w:r>
      <w:r>
        <w:rPr>
          <w:sz w:val="21"/>
          <w:szCs w:val="21"/>
        </w:rPr>
        <w:t>”</w:t>
      </w:r>
      <w:r>
        <w:rPr>
          <w:rFonts w:hint="eastAsia" w:ascii="宋体" w:hAnsi="宋体" w:cs="宋体"/>
          <w:sz w:val="21"/>
          <w:szCs w:val="21"/>
        </w:rPr>
        <w:t>企业、国家级</w:t>
      </w:r>
      <w:r>
        <w:rPr>
          <w:sz w:val="21"/>
          <w:szCs w:val="21"/>
        </w:rPr>
        <w:t>“</w:t>
      </w:r>
      <w:r>
        <w:rPr>
          <w:rFonts w:hint="eastAsia" w:ascii="宋体" w:hAnsi="宋体" w:cs="宋体"/>
          <w:sz w:val="21"/>
          <w:szCs w:val="21"/>
        </w:rPr>
        <w:t>绿色工厂</w:t>
      </w:r>
      <w:r>
        <w:rPr>
          <w:sz w:val="21"/>
          <w:szCs w:val="21"/>
        </w:rPr>
        <w:t>”</w:t>
      </w:r>
      <w:r>
        <w:rPr>
          <w:rFonts w:hint="eastAsia" w:ascii="宋体" w:hAnsi="宋体" w:cs="宋体"/>
          <w:sz w:val="21"/>
          <w:szCs w:val="21"/>
        </w:rPr>
        <w:t>、浙江省知识产权示范企业，获贵州省科学技术进步奖二等奖，入榜</w:t>
      </w:r>
      <w:r>
        <w:rPr>
          <w:sz w:val="21"/>
          <w:szCs w:val="21"/>
        </w:rPr>
        <w:t>2023</w:t>
      </w:r>
      <w:r>
        <w:rPr>
          <w:rFonts w:hint="eastAsia" w:ascii="宋体" w:hAnsi="宋体" w:cs="宋体"/>
          <w:sz w:val="21"/>
          <w:szCs w:val="21"/>
        </w:rPr>
        <w:t>温州市综合百强、制造业五十强及领军型工业企业；其主营产品在电表行业、电动工具行业、汽车行业均实现出色的市场成绩；通过深挖电子电器与传统燃油汽车存量市场增量业务，成功开发战略大客户，实现销售增量近万吨；协同产业基地配套实现华南市场电工业务强势突破且增量超</w:t>
      </w:r>
      <w:r>
        <w:rPr>
          <w:sz w:val="21"/>
          <w:szCs w:val="21"/>
        </w:rPr>
        <w:t>7,000</w:t>
      </w:r>
      <w:r>
        <w:rPr>
          <w:rFonts w:hint="eastAsia" w:ascii="宋体" w:hAnsi="宋体" w:cs="宋体"/>
          <w:sz w:val="21"/>
          <w:szCs w:val="21"/>
        </w:rPr>
        <w:t>吨；成功进入电动工具行业供应商体系，免喷涂尼龙材料领先同行，获得客户认可，实现</w:t>
      </w:r>
      <w:r>
        <w:rPr>
          <w:sz w:val="21"/>
          <w:szCs w:val="21"/>
        </w:rPr>
        <w:t>0</w:t>
      </w:r>
      <w:r>
        <w:rPr>
          <w:rFonts w:hint="eastAsia" w:ascii="宋体" w:hAnsi="宋体" w:cs="宋体"/>
          <w:sz w:val="21"/>
          <w:szCs w:val="21"/>
        </w:rPr>
        <w:t>到</w:t>
      </w:r>
      <w:r>
        <w:rPr>
          <w:sz w:val="21"/>
          <w:szCs w:val="21"/>
        </w:rPr>
        <w:t>1</w:t>
      </w:r>
      <w:r>
        <w:rPr>
          <w:rFonts w:hint="eastAsia" w:ascii="宋体" w:hAnsi="宋体" w:cs="宋体"/>
          <w:sz w:val="21"/>
          <w:szCs w:val="21"/>
        </w:rPr>
        <w:t>突破，奠定未来增长基础。持续拓展增量市场，在交通运输行业、新能源汽车和智能（网联）汽车行业实现销售增量突破</w:t>
      </w:r>
      <w:r>
        <w:rPr>
          <w:sz w:val="21"/>
          <w:szCs w:val="21"/>
        </w:rPr>
        <w:t>2</w:t>
      </w:r>
      <w:r>
        <w:rPr>
          <w:rFonts w:hint="eastAsia" w:ascii="宋体" w:hAnsi="宋体" w:cs="宋体"/>
          <w:sz w:val="21"/>
          <w:szCs w:val="21"/>
        </w:rPr>
        <w:t>万吨；辐照材料成功进入施耐德、罗格朗等电气行业巨头供应体系，实现配套企业由国内龙头向国际龙头覆盖；</w:t>
      </w:r>
      <w:r>
        <w:rPr>
          <w:sz w:val="21"/>
          <w:szCs w:val="21"/>
        </w:rPr>
        <w:t>5G+</w:t>
      </w:r>
      <w:r>
        <w:rPr>
          <w:rFonts w:hint="eastAsia" w:ascii="宋体" w:hAnsi="宋体" w:cs="宋体"/>
          <w:sz w:val="21"/>
          <w:szCs w:val="21"/>
        </w:rPr>
        <w:t>智能行业成功进入日本知名品牌的全球供应商系统，为</w:t>
      </w:r>
      <w:r>
        <w:rPr>
          <w:sz w:val="21"/>
          <w:szCs w:val="21"/>
        </w:rPr>
        <w:t>2024</w:t>
      </w:r>
      <w:r>
        <w:rPr>
          <w:rFonts w:hint="eastAsia" w:ascii="宋体" w:hAnsi="宋体" w:cs="宋体"/>
          <w:sz w:val="21"/>
          <w:szCs w:val="21"/>
        </w:rPr>
        <w:t>年新增万吨级市场打下坚实基础。</w:t>
      </w:r>
    </w:p>
    <w:p>
      <w:pPr>
        <w:pStyle w:val="3"/>
        <w:widowControl/>
        <w:spacing w:before="156" w:beforeAutospacing="0" w:after="156" w:afterAutospacing="0" w:line="360" w:lineRule="auto"/>
        <w:jc w:val="both"/>
        <w:rPr>
          <w:sz w:val="21"/>
          <w:szCs w:val="21"/>
        </w:rPr>
      </w:pPr>
      <w:r>
        <w:rPr>
          <w:rStyle w:val="6"/>
          <w:rFonts w:hint="eastAsia" w:ascii="宋体" w:hAnsi="宋体" w:cs="宋体"/>
          <w:bCs/>
          <w:sz w:val="21"/>
          <w:szCs w:val="21"/>
        </w:rPr>
        <w:t>医疗健康</w:t>
      </w:r>
    </w:p>
    <w:p>
      <w:pPr>
        <w:pStyle w:val="3"/>
        <w:widowControl/>
        <w:spacing w:beforeAutospacing="0" w:afterAutospacing="0" w:line="360" w:lineRule="auto"/>
        <w:jc w:val="both"/>
        <w:rPr>
          <w:sz w:val="21"/>
          <w:szCs w:val="21"/>
        </w:rPr>
      </w:pPr>
      <w:r>
        <w:rPr>
          <w:rFonts w:hint="eastAsia" w:ascii="宋体" w:hAnsi="宋体" w:cs="宋体"/>
          <w:sz w:val="21"/>
          <w:szCs w:val="21"/>
        </w:rPr>
        <w:t>医疗健康领域，</w:t>
      </w:r>
      <w:r>
        <w:rPr>
          <w:sz w:val="21"/>
          <w:szCs w:val="21"/>
        </w:rPr>
        <w:t>2023</w:t>
      </w:r>
      <w:r>
        <w:rPr>
          <w:rFonts w:hint="eastAsia" w:ascii="宋体" w:hAnsi="宋体" w:cs="宋体"/>
          <w:sz w:val="21"/>
          <w:szCs w:val="21"/>
        </w:rPr>
        <w:t>年是公司发展医疗健康事业的第三年，但总体仍处于产业的发展初期，外部政策环境持续向好。国家卫健委发布的</w:t>
      </w:r>
      <w:r>
        <w:rPr>
          <w:sz w:val="21"/>
          <w:szCs w:val="21"/>
        </w:rPr>
        <w:t>“</w:t>
      </w:r>
      <w:r>
        <w:rPr>
          <w:rFonts w:hint="eastAsia" w:ascii="宋体" w:hAnsi="宋体" w:cs="宋体"/>
          <w:sz w:val="21"/>
          <w:szCs w:val="21"/>
        </w:rPr>
        <w:t>十四五</w:t>
      </w:r>
      <w:r>
        <w:rPr>
          <w:sz w:val="21"/>
          <w:szCs w:val="21"/>
        </w:rPr>
        <w:t>”</w:t>
      </w:r>
      <w:r>
        <w:rPr>
          <w:rFonts w:hint="eastAsia" w:ascii="宋体" w:hAnsi="宋体" w:cs="宋体"/>
          <w:sz w:val="21"/>
          <w:szCs w:val="21"/>
        </w:rPr>
        <w:t>大型医用设备配置规划，质子重离子配置规划显著增加，各地配置证申报竞争激烈。报告期内，公司质子治疗系统和锗镓发生器入选</w:t>
      </w:r>
      <w:r>
        <w:rPr>
          <w:sz w:val="21"/>
          <w:szCs w:val="21"/>
        </w:rPr>
        <w:t>2023</w:t>
      </w:r>
      <w:r>
        <w:rPr>
          <w:rFonts w:hint="eastAsia" w:ascii="宋体" w:hAnsi="宋体" w:cs="宋体"/>
          <w:sz w:val="21"/>
          <w:szCs w:val="21"/>
        </w:rPr>
        <w:t>年度《四川省重大技术装备首台套软件首次推广应用指导目录》，质子治疗系统入选四川省第三批医疗器械重点项目名单。</w:t>
      </w:r>
      <w:bookmarkStart w:id="13" w:name="_GoBack"/>
      <w:bookmarkEnd w:id="13"/>
      <w:r>
        <w:rPr>
          <w:rFonts w:hint="eastAsia" w:ascii="宋体" w:hAnsi="宋体" w:cs="宋体"/>
          <w:sz w:val="21"/>
          <w:szCs w:val="21"/>
        </w:rPr>
        <w:t>公司</w:t>
      </w:r>
      <w:r>
        <w:rPr>
          <w:sz w:val="21"/>
          <w:szCs w:val="21"/>
        </w:rPr>
        <w:t>2023</w:t>
      </w:r>
      <w:r>
        <w:rPr>
          <w:rFonts w:hint="eastAsia" w:ascii="宋体" w:hAnsi="宋体" w:cs="宋体"/>
          <w:sz w:val="21"/>
          <w:szCs w:val="21"/>
        </w:rPr>
        <w:t>年先后在中国医学科学院肿瘤医院深圳医院质子医疗项目、四川省肿瘤医院质子治疗中心项目分别成功引出稳定的高能质子束，这也为公司</w:t>
      </w:r>
      <w:r>
        <w:rPr>
          <w:sz w:val="21"/>
          <w:szCs w:val="21"/>
        </w:rPr>
        <w:t>2025</w:t>
      </w:r>
      <w:r>
        <w:rPr>
          <w:rFonts w:hint="eastAsia" w:ascii="宋体" w:hAnsi="宋体" w:cs="宋体"/>
          <w:sz w:val="21"/>
          <w:szCs w:val="21"/>
        </w:rPr>
        <w:t>年开展项目交付夯实了基础。质子项目国产化方面，项目供应链建设进展顺利。同时针对</w:t>
      </w:r>
      <w:r>
        <w:rPr>
          <w:sz w:val="21"/>
          <w:szCs w:val="21"/>
        </w:rPr>
        <w:t>2024</w:t>
      </w:r>
      <w:r>
        <w:rPr>
          <w:rFonts w:hint="eastAsia" w:ascii="宋体" w:hAnsi="宋体" w:cs="宋体"/>
          <w:sz w:val="21"/>
          <w:szCs w:val="21"/>
        </w:rPr>
        <w:t>年首台质子设备交付，制定了质子设备物流与仓储管理方案，保障质子设备及零部件运输及现场管理清晰流畅。质子产业园正在进行主体建筑施工，预计</w:t>
      </w:r>
      <w:r>
        <w:rPr>
          <w:sz w:val="21"/>
          <w:szCs w:val="21"/>
        </w:rPr>
        <w:t>2024</w:t>
      </w:r>
      <w:r>
        <w:rPr>
          <w:rFonts w:hint="eastAsia" w:ascii="宋体" w:hAnsi="宋体" w:cs="宋体"/>
          <w:sz w:val="21"/>
          <w:szCs w:val="21"/>
        </w:rPr>
        <w:t>年完成建设并投用；同位素产业园通过《绵阳市施工建设标准化》验收，获绵阳市游仙区</w:t>
      </w:r>
      <w:r>
        <w:rPr>
          <w:sz w:val="21"/>
          <w:szCs w:val="21"/>
        </w:rPr>
        <w:t>“</w:t>
      </w:r>
      <w:r>
        <w:rPr>
          <w:rFonts w:hint="eastAsia" w:ascii="宋体" w:hAnsi="宋体" w:cs="宋体"/>
          <w:sz w:val="21"/>
          <w:szCs w:val="21"/>
        </w:rPr>
        <w:t>平安工地</w:t>
      </w:r>
      <w:r>
        <w:rPr>
          <w:sz w:val="21"/>
          <w:szCs w:val="21"/>
        </w:rPr>
        <w:t>”</w:t>
      </w:r>
      <w:r>
        <w:rPr>
          <w:rFonts w:hint="eastAsia" w:ascii="宋体" w:hAnsi="宋体" w:cs="宋体"/>
          <w:sz w:val="21"/>
          <w:szCs w:val="21"/>
        </w:rPr>
        <w:t>称号，预计</w:t>
      </w:r>
      <w:r>
        <w:rPr>
          <w:sz w:val="21"/>
          <w:szCs w:val="21"/>
        </w:rPr>
        <w:t>2024</w:t>
      </w:r>
      <w:r>
        <w:rPr>
          <w:rFonts w:hint="eastAsia" w:ascii="宋体" w:hAnsi="宋体" w:cs="宋体"/>
          <w:sz w:val="21"/>
          <w:szCs w:val="21"/>
        </w:rPr>
        <w:t>年具备办公入住条件。</w:t>
      </w:r>
    </w:p>
    <w:p>
      <w:pPr>
        <w:keepNext/>
        <w:keepLines/>
        <w:spacing w:before="300" w:after="300" w:line="280" w:lineRule="exact"/>
        <w:jc w:val="left"/>
        <w:outlineLvl w:val="2"/>
        <w:rPr>
          <w:rFonts w:ascii="宋体" w:hAnsi="宋体" w:cs="宋体"/>
          <w:b/>
          <w:bCs/>
          <w:szCs w:val="21"/>
        </w:rPr>
      </w:pPr>
      <w:bookmarkStart w:id="4" w:name="_Toc988893"/>
      <w:r>
        <w:rPr>
          <w:rFonts w:ascii="宋体" w:hAnsi="宋体" w:cs="宋体"/>
          <w:b/>
          <w:bCs/>
          <w:szCs w:val="21"/>
        </w:rPr>
        <w:t>3、主要会计数据和财务指标</w:t>
      </w:r>
      <w:bookmarkEnd w:id="4"/>
    </w:p>
    <w:p>
      <w:pPr>
        <w:keepNext/>
        <w:keepLines/>
        <w:spacing w:before="300" w:after="300" w:line="280" w:lineRule="exact"/>
        <w:jc w:val="left"/>
        <w:outlineLvl w:val="3"/>
        <w:rPr>
          <w:rFonts w:ascii="宋体" w:hAnsi="宋体" w:cs="宋体"/>
          <w:b/>
          <w:bCs/>
          <w:sz w:val="18"/>
          <w:szCs w:val="18"/>
        </w:rPr>
      </w:pPr>
      <w:bookmarkStart w:id="5" w:name="_Toc988894"/>
      <w:r>
        <w:rPr>
          <w:rFonts w:ascii="宋体" w:hAnsi="宋体" w:cs="宋体"/>
          <w:b/>
          <w:bCs/>
          <w:sz w:val="18"/>
          <w:szCs w:val="18"/>
        </w:rPr>
        <w:t>（1） 近三年主要会计数据和财务指标</w:t>
      </w:r>
      <w:bookmarkEnd w:id="5"/>
    </w:p>
    <w:p>
      <w:pPr>
        <w:spacing w:before="100" w:after="100" w:line="240" w:lineRule="exact"/>
        <w:jc w:val="left"/>
        <w:rPr>
          <w:rFonts w:ascii="宋体" w:hAnsi="宋体" w:cs="宋体"/>
          <w:b/>
          <w:bCs/>
          <w:sz w:val="18"/>
          <w:szCs w:val="18"/>
        </w:rPr>
      </w:pPr>
      <w:r>
        <w:rPr>
          <w:rFonts w:ascii="宋体" w:hAnsi="宋体" w:cs="宋体"/>
          <w:b/>
          <w:bCs/>
          <w:sz w:val="18"/>
          <w:szCs w:val="18"/>
        </w:rPr>
        <w:t>公司是否需追溯调整或重述以前年度会计数据</w:t>
      </w:r>
    </w:p>
    <w:p>
      <w:pPr>
        <w:spacing w:before="100" w:after="100" w:line="240" w:lineRule="exact"/>
        <w:jc w:val="left"/>
        <w:rPr>
          <w:rFonts w:ascii="宋体" w:hAnsi="宋体" w:cs="宋体"/>
          <w:sz w:val="18"/>
          <w:szCs w:val="18"/>
        </w:rPr>
      </w:pPr>
      <w:r>
        <w:rPr>
          <w:rFonts w:ascii="宋体" w:hAnsi="宋体" w:cs="宋体"/>
          <w:sz w:val="18"/>
          <w:szCs w:val="18"/>
        </w:rPr>
        <w:sym w:font="Wingdings 2" w:char="F052"/>
      </w:r>
      <w:r>
        <w:rPr>
          <w:rFonts w:ascii="宋体" w:hAnsi="宋体" w:cs="宋体"/>
          <w:sz w:val="18"/>
          <w:szCs w:val="18"/>
        </w:rPr>
        <w:t>是 □否</w:t>
      </w:r>
    </w:p>
    <w:p>
      <w:pPr>
        <w:spacing w:before="100" w:after="100" w:line="240" w:lineRule="exact"/>
        <w:jc w:val="left"/>
        <w:rPr>
          <w:rFonts w:ascii="宋体" w:hAnsi="宋体" w:cs="宋体"/>
          <w:b/>
          <w:bCs/>
          <w:sz w:val="18"/>
          <w:szCs w:val="18"/>
        </w:rPr>
      </w:pPr>
      <w:r>
        <w:rPr>
          <w:rFonts w:ascii="宋体" w:hAnsi="宋体" w:cs="宋体"/>
          <w:b/>
          <w:bCs/>
          <w:sz w:val="18"/>
          <w:szCs w:val="18"/>
        </w:rPr>
        <w:t>追溯调整或重述原因</w:t>
      </w:r>
    </w:p>
    <w:p>
      <w:pPr>
        <w:spacing w:line="240" w:lineRule="exact"/>
        <w:jc w:val="left"/>
        <w:rPr>
          <w:rFonts w:ascii="宋体" w:hAnsi="宋体" w:cs="宋体"/>
          <w:sz w:val="18"/>
          <w:szCs w:val="18"/>
        </w:rPr>
      </w:pPr>
      <w:r>
        <w:rPr>
          <w:rFonts w:ascii="宋体" w:hAnsi="宋体" w:cs="宋体"/>
          <w:sz w:val="18"/>
          <w:szCs w:val="18"/>
        </w:rPr>
        <w:t>会计政策变更</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2023年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2022年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本年比上年增减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2021年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营业收入（元）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6,352,518,944.55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6,944,907,174.49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6,944,907,174.49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-8.53%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7,998,857,682.91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7,998,857,682.91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归属于上市公司股东的净利润（元）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-737,163,932.18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198,751,228.01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199,594,590.44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-469.33%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176,723,237.79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176,440,485.85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归属于上市公司股东的扣除非经常性损益的净利润（元）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-960,642,520.82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-67,036,499.95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-66,193,137.52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-1,351.27%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53,309,874.16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53,027,122.22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经营活动产生的现金流量净额（元）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371,271,537.71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563,624,947.09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563,624,947.09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-34.13%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475,720,066.83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475,720,066.83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基本每股收益（元/股）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-0.7797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0.2102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0.2111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-469.35%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0.1869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0.1866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稀释每股收益（元/股）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-0.7797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0.2102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0.2111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-469.35%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0.1869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0.1866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加权平均净资产收益率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-12.38%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3.20%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3.21%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rFonts w:hint="eastAsia"/>
                <w:sz w:val="18"/>
                <w:szCs w:val="18"/>
              </w:rPr>
              <w:t>减少</w:t>
            </w:r>
            <w:r>
              <w:rPr>
                <w:sz w:val="18"/>
                <w:szCs w:val="18"/>
              </w:rPr>
              <w:t>15.59</w:t>
            </w:r>
            <w:r>
              <w:rPr>
                <w:rFonts w:hint="eastAsia"/>
                <w:sz w:val="18"/>
                <w:szCs w:val="18"/>
              </w:rPr>
              <w:t>个百分点</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rFonts w:hint="eastAsia"/>
                <w:sz w:val="18"/>
                <w:szCs w:val="18"/>
              </w:rPr>
              <w:t>2.93</w:t>
            </w:r>
            <w:r>
              <w:rPr>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2023年末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2022年末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本年末比上年末增减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2021年末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总资产（元）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11,283,404,643.67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11,972,423,061.82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11,973,525,337.64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-5.76%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13,322,236,426.35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13,321,630,458.27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归属于上市公司股东的净资产（元）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5,586,012,022.44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6,326,079,639.87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6,326,640,250.36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-11.71%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6,102,062,628.27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6,101,779,876.33</w:t>
            </w:r>
          </w:p>
        </w:tc>
      </w:tr>
    </w:tbl>
    <w:p>
      <w:pPr>
        <w:spacing w:before="100" w:after="100" w:line="240" w:lineRule="exact"/>
        <w:jc w:val="left"/>
        <w:rPr>
          <w:rFonts w:ascii="宋体" w:hAnsi="宋体" w:cs="宋体"/>
          <w:b/>
          <w:bCs/>
          <w:sz w:val="18"/>
          <w:szCs w:val="18"/>
        </w:rPr>
      </w:pPr>
      <w:r>
        <w:rPr>
          <w:rFonts w:ascii="宋体" w:hAnsi="宋体" w:cs="宋体"/>
          <w:b/>
          <w:bCs/>
          <w:sz w:val="18"/>
          <w:szCs w:val="18"/>
        </w:rPr>
        <w:t>会计政策变更的原因及会计差错更正的情况</w:t>
      </w:r>
    </w:p>
    <w:p>
      <w:pPr>
        <w:spacing w:before="100" w:after="100" w:line="360" w:lineRule="auto"/>
        <w:rPr>
          <w:sz w:val="18"/>
          <w:szCs w:val="18"/>
        </w:rPr>
      </w:pPr>
      <w:r>
        <w:rPr>
          <w:sz w:val="18"/>
          <w:szCs w:val="18"/>
        </w:rPr>
        <w:t>2022年11月30日，财政部发布了《企业会计准则解释第16号》（财会[2022]31号，以下简称解释16号），其中“关于单项交易产生的资产和负债相关的递延所得税不适用初始确认豁免的会计处理”，内容自2023年1月1日起施行。本公司于2023年1月1日执行解释16号的该项规定，对于在首次施行解释16号的财务报表列报最早期间的期初（即2022年1月1日）至2023年1月1日之间发生的适用解释16号的单项交易，本公司按照解释16号的规定进行调整</w:t>
      </w:r>
    </w:p>
    <w:p>
      <w:pPr>
        <w:keepNext/>
        <w:keepLines/>
        <w:spacing w:before="300" w:after="300" w:line="280" w:lineRule="exact"/>
        <w:jc w:val="left"/>
        <w:outlineLvl w:val="3"/>
        <w:rPr>
          <w:rFonts w:ascii="宋体" w:hAnsi="宋体" w:cs="宋体"/>
          <w:b/>
          <w:bCs/>
          <w:sz w:val="18"/>
          <w:szCs w:val="18"/>
        </w:rPr>
      </w:pPr>
      <w:bookmarkStart w:id="6" w:name="_Toc988895"/>
      <w:r>
        <w:rPr>
          <w:rFonts w:ascii="宋体" w:hAnsi="宋体" w:cs="宋体"/>
          <w:b/>
          <w:bCs/>
          <w:sz w:val="18"/>
          <w:szCs w:val="18"/>
        </w:rPr>
        <w:t>（2） 分季度主要会计数据</w:t>
      </w:r>
      <w:bookmarkEnd w:id="6"/>
    </w:p>
    <w:p>
      <w:pPr>
        <w:spacing w:before="120" w:after="120" w:line="240" w:lineRule="exact"/>
        <w:jc w:val="right"/>
        <w:rPr>
          <w:rFonts w:ascii="宋体" w:hAnsi="宋体" w:cs="宋体"/>
          <w:sz w:val="18"/>
          <w:szCs w:val="18"/>
        </w:rPr>
      </w:pPr>
      <w:r>
        <w:rPr>
          <w:rFonts w:ascii="宋体" w:hAnsi="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 w:val="18"/>
                <w:szCs w:val="18"/>
              </w:rPr>
            </w:pPr>
            <w:r>
              <w:rPr>
                <w:sz w:val="18"/>
                <w:szCs w:val="18"/>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1,226,257,155.66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1,637,425,966.20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1,681,290,808.74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1,807,545,013.95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-25,735,870.78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-78,941,099.46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939,856.01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-633,426,817.95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-63,416,546.74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-83,625,871.23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-26,491,373.69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-787,108,729.16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 w:val="18"/>
                <w:szCs w:val="18"/>
              </w:rPr>
            </w:pPr>
            <w:r>
              <w:rPr>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10,676,777.73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210,966,899.52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-7,213,321.10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 w:val="18"/>
                <w:szCs w:val="18"/>
              </w:rPr>
            </w:pPr>
            <w:r>
              <w:rPr>
                <w:sz w:val="18"/>
                <w:szCs w:val="18"/>
              </w:rPr>
              <w:t>156,841,181.56</w:t>
            </w:r>
          </w:p>
        </w:tc>
      </w:tr>
    </w:tbl>
    <w:p>
      <w:pPr>
        <w:spacing w:before="100" w:after="100" w:line="240" w:lineRule="exact"/>
        <w:jc w:val="left"/>
        <w:rPr>
          <w:rFonts w:ascii="宋体" w:hAnsi="宋体" w:cs="宋体"/>
          <w:sz w:val="18"/>
          <w:szCs w:val="18"/>
        </w:rPr>
      </w:pPr>
      <w:r>
        <w:rPr>
          <w:rFonts w:ascii="宋体" w:hAnsi="宋体" w:cs="宋体"/>
          <w:sz w:val="18"/>
          <w:szCs w:val="18"/>
        </w:rPr>
        <w:t>上述财务指标或其加总数是否与公司已披露季度报告、半年度报告相关财务指标存在重大差异</w:t>
      </w:r>
    </w:p>
    <w:p>
      <w:pPr>
        <w:spacing w:before="100" w:after="100" w:line="240" w:lineRule="exact"/>
        <w:jc w:val="left"/>
        <w:rPr>
          <w:rFonts w:ascii="宋体" w:hAnsi="宋体" w:cs="宋体"/>
          <w:sz w:val="18"/>
          <w:szCs w:val="18"/>
        </w:rPr>
      </w:pPr>
      <w:r>
        <w:rPr>
          <w:rFonts w:ascii="宋体" w:hAnsi="宋体" w:cs="宋体"/>
          <w:sz w:val="18"/>
          <w:szCs w:val="18"/>
        </w:rPr>
        <w:t xml:space="preserve">□是 </w:t>
      </w:r>
      <w:r>
        <w:rPr>
          <w:rFonts w:ascii="宋体" w:hAnsi="宋体" w:cs="宋体"/>
          <w:sz w:val="18"/>
          <w:szCs w:val="18"/>
        </w:rPr>
        <w:sym w:font="Wingdings 2" w:char="F052"/>
      </w:r>
      <w:r>
        <w:rPr>
          <w:rFonts w:ascii="宋体" w:hAnsi="宋体" w:cs="宋体"/>
          <w:sz w:val="18"/>
          <w:szCs w:val="18"/>
        </w:rPr>
        <w:t>否</w:t>
      </w:r>
    </w:p>
    <w:p>
      <w:pPr>
        <w:keepNext/>
        <w:keepLines/>
        <w:spacing w:before="300" w:after="300" w:line="280" w:lineRule="exact"/>
        <w:jc w:val="left"/>
        <w:outlineLvl w:val="2"/>
        <w:rPr>
          <w:rFonts w:ascii="宋体" w:hAnsi="宋体" w:cs="宋体"/>
          <w:b/>
          <w:bCs/>
          <w:szCs w:val="21"/>
        </w:rPr>
      </w:pPr>
      <w:bookmarkStart w:id="7" w:name="_Toc988896"/>
      <w:r>
        <w:rPr>
          <w:rFonts w:ascii="宋体" w:hAnsi="宋体" w:cs="宋体"/>
          <w:b/>
          <w:bCs/>
          <w:szCs w:val="21"/>
        </w:rPr>
        <w:t>4、股本及股东情况</w:t>
      </w:r>
      <w:bookmarkEnd w:id="7"/>
    </w:p>
    <w:p>
      <w:pPr>
        <w:keepNext/>
        <w:keepLines/>
        <w:spacing w:before="300" w:after="300" w:line="280" w:lineRule="exact"/>
        <w:jc w:val="left"/>
        <w:outlineLvl w:val="3"/>
        <w:rPr>
          <w:rFonts w:ascii="宋体" w:hAnsi="宋体" w:cs="宋体"/>
          <w:b/>
          <w:bCs/>
          <w:sz w:val="18"/>
          <w:szCs w:val="18"/>
        </w:rPr>
      </w:pPr>
      <w:bookmarkStart w:id="8" w:name="_Toc988897"/>
      <w:r>
        <w:rPr>
          <w:rFonts w:ascii="宋体" w:hAnsi="宋体" w:cs="宋体"/>
          <w:b/>
          <w:bCs/>
          <w:sz w:val="18"/>
          <w:szCs w:val="18"/>
        </w:rPr>
        <w:t>（1） 普通股股东和表决权恢复的优先股股东数量及前10名股东持股情况表</w:t>
      </w:r>
      <w:bookmarkEnd w:id="8"/>
    </w:p>
    <w:p>
      <w:pPr>
        <w:spacing w:before="40" w:after="40" w:line="240" w:lineRule="exact"/>
        <w:jc w:val="right"/>
        <w:rPr>
          <w:rFonts w:ascii="宋体" w:hAnsi="宋体" w:cs="宋体"/>
          <w:sz w:val="18"/>
          <w:szCs w:val="18"/>
        </w:rPr>
      </w:pPr>
      <w:r>
        <w:rPr>
          <w:rFonts w:ascii="宋体" w:hAnsi="宋体" w:cs="宋体"/>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838"/>
        <w:gridCol w:w="1304"/>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Cs w:val="21"/>
              </w:rPr>
            </w:pPr>
            <w:r>
              <w:rPr>
                <w:szCs w:val="21"/>
              </w:rPr>
              <w:t>报告期末普通股股东总数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41,510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Cs w:val="21"/>
              </w:rPr>
            </w:pPr>
            <w:r>
              <w:rPr>
                <w:szCs w:val="21"/>
              </w:rPr>
              <w:t>年度报告披露日前上一月末普通股股东总数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rFonts w:hint="eastAsia"/>
                <w:szCs w:val="21"/>
              </w:rPr>
              <w:t>46</w:t>
            </w:r>
            <w:r>
              <w:rPr>
                <w:szCs w:val="21"/>
              </w:rPr>
              <w:t>,</w:t>
            </w:r>
            <w:r>
              <w:rPr>
                <w:rFonts w:hint="eastAsia"/>
                <w:szCs w:val="21"/>
              </w:rPr>
              <w:t>480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Cs w:val="21"/>
              </w:rPr>
            </w:pPr>
            <w:r>
              <w:rPr>
                <w:szCs w:val="21"/>
              </w:rPr>
              <w:t>报告期末表决权恢复的优先股股东总数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Cs w:val="21"/>
              </w:rPr>
            </w:pPr>
            <w:r>
              <w:rPr>
                <w:szCs w:val="21"/>
              </w:rPr>
              <w:t>年度报告披露日前上一月末表决权恢复的优先股股东总数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持有有限售条件的股份数量</w:t>
            </w:r>
          </w:p>
        </w:tc>
        <w:tc>
          <w:tcPr>
            <w:tcW w:w="83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持有无限售条件的股份数量</w:t>
            </w:r>
          </w:p>
        </w:tc>
        <w:tc>
          <w:tcPr>
            <w:tcW w:w="237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83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3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中广核核技术应用有限公司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27.28%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257,911,972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28,558,024</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229,353,948</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right w:val="single" w:color="auto" w:sz="2" w:space="0"/>
            </w:tcBorders>
            <w:vAlign w:val="center"/>
          </w:tcPr>
          <w:p>
            <w:r>
              <w:rPr>
                <w:szCs w:val="21"/>
              </w:rPr>
              <w:t>中国大连国际经济技术合作集团有限公司</w:t>
            </w:r>
          </w:p>
          <w:p>
            <w:pPr>
              <w:spacing w:line="240" w:lineRule="exact"/>
              <w:jc w:val="left"/>
              <w:rPr>
                <w:szCs w:val="21"/>
              </w:rPr>
            </w:pPr>
          </w:p>
        </w:tc>
        <w:tc>
          <w:tcPr>
            <w:tcW w:w="1071" w:type="dxa"/>
            <w:vMerge w:val="restart"/>
            <w:tcBorders>
              <w:top w:val="single" w:color="auto" w:sz="2" w:space="0"/>
              <w:left w:val="single" w:color="auto" w:sz="2" w:space="0"/>
              <w:right w:val="single" w:color="auto" w:sz="2" w:space="0"/>
            </w:tcBorders>
            <w:vAlign w:val="center"/>
          </w:tcPr>
          <w:p>
            <w:r>
              <w:rPr>
                <w:szCs w:val="21"/>
              </w:rPr>
              <w:t>境内非国有法人</w:t>
            </w:r>
          </w:p>
          <w:p>
            <w:pPr>
              <w:spacing w:line="240" w:lineRule="exact"/>
              <w:jc w:val="left"/>
              <w:rPr>
                <w:szCs w:val="21"/>
              </w:rPr>
            </w:pPr>
          </w:p>
        </w:tc>
        <w:tc>
          <w:tcPr>
            <w:tcW w:w="1071" w:type="dxa"/>
            <w:vMerge w:val="restart"/>
            <w:tcBorders>
              <w:top w:val="single" w:color="auto" w:sz="2" w:space="0"/>
              <w:left w:val="single" w:color="auto" w:sz="2" w:space="0"/>
              <w:right w:val="single" w:color="auto" w:sz="2" w:space="0"/>
            </w:tcBorders>
            <w:vAlign w:val="center"/>
          </w:tcPr>
          <w:p>
            <w:r>
              <w:rPr>
                <w:szCs w:val="21"/>
              </w:rPr>
              <w:t>12.58%</w:t>
            </w:r>
          </w:p>
          <w:p>
            <w:pPr>
              <w:spacing w:line="240" w:lineRule="exact"/>
              <w:jc w:val="right"/>
              <w:rPr>
                <w:szCs w:val="21"/>
              </w:rPr>
            </w:pPr>
          </w:p>
        </w:tc>
        <w:tc>
          <w:tcPr>
            <w:tcW w:w="1071" w:type="dxa"/>
            <w:vMerge w:val="restart"/>
            <w:tcBorders>
              <w:top w:val="single" w:color="auto" w:sz="2" w:space="0"/>
              <w:left w:val="single" w:color="auto" w:sz="2" w:space="0"/>
              <w:right w:val="single" w:color="auto" w:sz="2" w:space="0"/>
            </w:tcBorders>
            <w:vAlign w:val="center"/>
          </w:tcPr>
          <w:p>
            <w:r>
              <w:rPr>
                <w:szCs w:val="21"/>
              </w:rPr>
              <w:t>118,914,273</w:t>
            </w:r>
          </w:p>
          <w:p>
            <w:pPr>
              <w:spacing w:line="240" w:lineRule="exact"/>
              <w:jc w:val="right"/>
              <w:rPr>
                <w:szCs w:val="21"/>
              </w:rPr>
            </w:pPr>
          </w:p>
        </w:tc>
        <w:tc>
          <w:tcPr>
            <w:tcW w:w="1071" w:type="dxa"/>
            <w:vMerge w:val="restart"/>
            <w:tcBorders>
              <w:top w:val="single" w:color="auto" w:sz="2" w:space="0"/>
              <w:left w:val="single" w:color="auto" w:sz="2" w:space="0"/>
              <w:right w:val="single" w:color="auto" w:sz="2" w:space="0"/>
            </w:tcBorders>
            <w:vAlign w:val="center"/>
          </w:tcPr>
          <w:p>
            <w:r>
              <w:rPr>
                <w:szCs w:val="21"/>
              </w:rPr>
              <w:t>0</w:t>
            </w:r>
          </w:p>
          <w:p>
            <w:pPr>
              <w:spacing w:line="240" w:lineRule="exact"/>
              <w:jc w:val="left"/>
              <w:rPr>
                <w:szCs w:val="21"/>
              </w:rPr>
            </w:pPr>
          </w:p>
        </w:tc>
        <w:tc>
          <w:tcPr>
            <w:tcW w:w="1071" w:type="dxa"/>
            <w:vMerge w:val="restart"/>
            <w:tcBorders>
              <w:top w:val="single" w:color="auto" w:sz="2" w:space="0"/>
              <w:left w:val="single" w:color="auto" w:sz="2" w:space="0"/>
              <w:right w:val="single" w:color="auto" w:sz="2" w:space="0"/>
            </w:tcBorders>
            <w:vAlign w:val="center"/>
          </w:tcPr>
          <w:p>
            <w:r>
              <w:rPr>
                <w:szCs w:val="21"/>
              </w:rPr>
              <w:t>62,141,491</w:t>
            </w:r>
          </w:p>
          <w:p>
            <w:pPr>
              <w:spacing w:line="240" w:lineRule="exact"/>
              <w:jc w:val="right"/>
              <w:rPr>
                <w:szCs w:val="21"/>
              </w:rPr>
            </w:pPr>
          </w:p>
        </w:tc>
        <w:tc>
          <w:tcPr>
            <w:tcW w:w="838" w:type="dxa"/>
            <w:vMerge w:val="restart"/>
            <w:tcBorders>
              <w:top w:val="single" w:color="auto" w:sz="2" w:space="0"/>
              <w:left w:val="single" w:color="auto" w:sz="2" w:space="0"/>
              <w:right w:val="single" w:color="auto" w:sz="2" w:space="0"/>
            </w:tcBorders>
            <w:vAlign w:val="center"/>
          </w:tcPr>
          <w:p>
            <w:r>
              <w:rPr>
                <w:szCs w:val="21"/>
              </w:rPr>
              <w:t>56,772,782</w:t>
            </w:r>
          </w:p>
          <w:p>
            <w:pPr>
              <w:spacing w:line="240" w:lineRule="exact"/>
              <w:jc w:val="right"/>
              <w:rPr>
                <w:szCs w:val="21"/>
              </w:rPr>
            </w:pP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118,914,273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left w:val="single" w:color="auto" w:sz="2" w:space="0"/>
              <w:bottom w:val="single" w:color="auto" w:sz="2" w:space="0"/>
              <w:right w:val="single" w:color="auto" w:sz="2" w:space="0"/>
            </w:tcBorders>
            <w:vAlign w:val="center"/>
          </w:tcPr>
          <w:p>
            <w:pPr>
              <w:spacing w:line="240" w:lineRule="exact"/>
              <w:jc w:val="left"/>
              <w:rPr>
                <w:szCs w:val="21"/>
              </w:rPr>
            </w:pPr>
          </w:p>
        </w:tc>
        <w:tc>
          <w:tcPr>
            <w:tcW w:w="1071" w:type="dxa"/>
            <w:vMerge w:val="continue"/>
            <w:tcBorders>
              <w:left w:val="single" w:color="auto" w:sz="2" w:space="0"/>
              <w:bottom w:val="single" w:color="auto" w:sz="2" w:space="0"/>
              <w:right w:val="single" w:color="auto" w:sz="2" w:space="0"/>
            </w:tcBorders>
            <w:vAlign w:val="center"/>
          </w:tcPr>
          <w:p>
            <w:pPr>
              <w:spacing w:line="240" w:lineRule="exact"/>
              <w:jc w:val="left"/>
              <w:rPr>
                <w:szCs w:val="21"/>
              </w:rPr>
            </w:pPr>
          </w:p>
        </w:tc>
        <w:tc>
          <w:tcPr>
            <w:tcW w:w="1071" w:type="dxa"/>
            <w:vMerge w:val="continue"/>
            <w:tcBorders>
              <w:left w:val="single" w:color="auto" w:sz="2" w:space="0"/>
              <w:bottom w:val="single" w:color="auto" w:sz="2" w:space="0"/>
              <w:right w:val="single" w:color="auto" w:sz="2" w:space="0"/>
            </w:tcBorders>
            <w:vAlign w:val="center"/>
          </w:tcPr>
          <w:p>
            <w:pPr>
              <w:spacing w:line="240" w:lineRule="exact"/>
              <w:jc w:val="right"/>
              <w:rPr>
                <w:szCs w:val="21"/>
              </w:rPr>
            </w:pPr>
          </w:p>
        </w:tc>
        <w:tc>
          <w:tcPr>
            <w:tcW w:w="1071" w:type="dxa"/>
            <w:vMerge w:val="continue"/>
            <w:tcBorders>
              <w:left w:val="single" w:color="auto" w:sz="2" w:space="0"/>
              <w:bottom w:val="single" w:color="auto" w:sz="2" w:space="0"/>
              <w:right w:val="single" w:color="auto" w:sz="2" w:space="0"/>
            </w:tcBorders>
            <w:vAlign w:val="center"/>
          </w:tcPr>
          <w:p>
            <w:pPr>
              <w:spacing w:line="240" w:lineRule="exact"/>
              <w:jc w:val="right"/>
              <w:rPr>
                <w:szCs w:val="21"/>
              </w:rPr>
            </w:pPr>
          </w:p>
        </w:tc>
        <w:tc>
          <w:tcPr>
            <w:tcW w:w="1071" w:type="dxa"/>
            <w:vMerge w:val="continue"/>
            <w:tcBorders>
              <w:left w:val="single" w:color="auto" w:sz="2" w:space="0"/>
              <w:bottom w:val="single" w:color="auto" w:sz="2" w:space="0"/>
              <w:right w:val="single" w:color="auto" w:sz="2" w:space="0"/>
            </w:tcBorders>
            <w:vAlign w:val="center"/>
          </w:tcPr>
          <w:p>
            <w:pPr>
              <w:spacing w:line="240" w:lineRule="exact"/>
              <w:jc w:val="left"/>
              <w:rPr>
                <w:szCs w:val="21"/>
              </w:rPr>
            </w:pPr>
          </w:p>
        </w:tc>
        <w:tc>
          <w:tcPr>
            <w:tcW w:w="1071" w:type="dxa"/>
            <w:vMerge w:val="continue"/>
            <w:tcBorders>
              <w:left w:val="single" w:color="auto" w:sz="2" w:space="0"/>
              <w:bottom w:val="single" w:color="auto" w:sz="2" w:space="0"/>
              <w:right w:val="single" w:color="auto" w:sz="2" w:space="0"/>
            </w:tcBorders>
            <w:vAlign w:val="center"/>
          </w:tcPr>
          <w:p>
            <w:pPr>
              <w:spacing w:line="240" w:lineRule="exact"/>
              <w:jc w:val="right"/>
              <w:rPr>
                <w:szCs w:val="21"/>
              </w:rPr>
            </w:pPr>
          </w:p>
        </w:tc>
        <w:tc>
          <w:tcPr>
            <w:tcW w:w="838" w:type="dxa"/>
            <w:vMerge w:val="continue"/>
            <w:tcBorders>
              <w:left w:val="single" w:color="auto" w:sz="2" w:space="0"/>
              <w:bottom w:val="single" w:color="auto" w:sz="2" w:space="0"/>
              <w:right w:val="single" w:color="auto" w:sz="2" w:space="0"/>
            </w:tcBorders>
            <w:vAlign w:val="center"/>
          </w:tcPr>
          <w:p>
            <w:pPr>
              <w:spacing w:line="240" w:lineRule="exact"/>
              <w:jc w:val="right"/>
              <w:rPr>
                <w:szCs w:val="21"/>
              </w:rPr>
            </w:pP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91,027,046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陈晓敏</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4.34%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41,009,063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-1</w:t>
            </w:r>
            <w:r>
              <w:rPr>
                <w:rFonts w:hint="eastAsia"/>
                <w:szCs w:val="21"/>
              </w:rPr>
              <w:t>,</w:t>
            </w:r>
            <w:r>
              <w:rPr>
                <w:szCs w:val="21"/>
              </w:rPr>
              <w:t>658</w:t>
            </w:r>
            <w:r>
              <w:rPr>
                <w:rFonts w:hint="eastAsia"/>
                <w:szCs w:val="21"/>
              </w:rPr>
              <w:t>,</w:t>
            </w:r>
            <w:r>
              <w:rPr>
                <w:szCs w:val="21"/>
              </w:rPr>
              <w:t>10</w:t>
            </w:r>
            <w:r>
              <w:rPr>
                <w:rFonts w:hint="eastAsia"/>
                <w:szCs w:val="21"/>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11,469,623</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29,539,440</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质押</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41,000,000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江苏达胜热缩材料有限公司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1.86%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17,590,750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17,590,750</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芜湖渝宾投资中心（有限合伙）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1.52%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14,340,344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14,340,344</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中广核资本控股有限公司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12,557,084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12,557,084</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香港中央结算有限公司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9,443,886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4</w:t>
            </w:r>
            <w:r>
              <w:rPr>
                <w:rFonts w:hint="eastAsia"/>
                <w:szCs w:val="21"/>
              </w:rPr>
              <w:t>,</w:t>
            </w:r>
            <w:r>
              <w:rPr>
                <w:szCs w:val="21"/>
              </w:rPr>
              <w:t>350</w:t>
            </w:r>
            <w:r>
              <w:rPr>
                <w:rFonts w:hint="eastAsia"/>
                <w:szCs w:val="21"/>
              </w:rPr>
              <w:t>,</w:t>
            </w:r>
            <w:r>
              <w:rPr>
                <w:szCs w:val="21"/>
              </w:rPr>
              <w:t>244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9,443,886</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单永东</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0.86%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8,132,777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-66</w:t>
            </w:r>
            <w:r>
              <w:rPr>
                <w:rFonts w:hint="eastAsia"/>
                <w:szCs w:val="21"/>
              </w:rPr>
              <w:t>,</w:t>
            </w:r>
            <w:r>
              <w:rPr>
                <w:szCs w:val="21"/>
              </w:rPr>
              <w:t>800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3,735,827</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4,396,950</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吴翰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0.72%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6,800,000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-820</w:t>
            </w:r>
            <w:r>
              <w:rPr>
                <w:rFonts w:hint="eastAsia"/>
                <w:szCs w:val="21"/>
              </w:rPr>
              <w:t>,</w:t>
            </w:r>
            <w:r>
              <w:rPr>
                <w:szCs w:val="21"/>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6,800,000</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魏建良</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0.66%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6,226,378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-1</w:t>
            </w:r>
            <w:r>
              <w:rPr>
                <w:rFonts w:hint="eastAsia"/>
                <w:szCs w:val="21"/>
              </w:rPr>
              <w:t>,</w:t>
            </w:r>
            <w:r>
              <w:rPr>
                <w:szCs w:val="21"/>
              </w:rPr>
              <w:t>939</w:t>
            </w:r>
            <w:r>
              <w:rPr>
                <w:rFonts w:hint="eastAsia"/>
                <w:szCs w:val="21"/>
              </w:rPr>
              <w:t>,</w:t>
            </w:r>
            <w:r>
              <w:rPr>
                <w:szCs w:val="21"/>
              </w:rPr>
              <w:t>900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6,226,378</w:t>
            </w:r>
          </w:p>
        </w:tc>
        <w:tc>
          <w:tcPr>
            <w:tcW w:w="8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1304"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Cs w:val="21"/>
              </w:rPr>
            </w:pPr>
            <w:r>
              <w:rPr>
                <w:szCs w:val="21"/>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截</w:t>
            </w:r>
            <w:r>
              <w:rPr>
                <w:rFonts w:hint="eastAsia"/>
                <w:szCs w:val="21"/>
              </w:rPr>
              <w:t>至</w:t>
            </w:r>
            <w:r>
              <w:rPr>
                <w:szCs w:val="21"/>
              </w:rPr>
              <w:t>2023年12月31日，中广核资本系控股股东中广核核技术一致行动人。公司未知其他前10名普通股股东之间是否存在关联关系或一致行动人的情形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szCs w:val="21"/>
              </w:rPr>
            </w:pPr>
            <w:r>
              <w:rPr>
                <w:szCs w:val="21"/>
              </w:rPr>
              <w:t>前10名普通股股东参与融资融券业务情况说明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无</w:t>
            </w:r>
          </w:p>
        </w:tc>
      </w:tr>
    </w:tbl>
    <w:p>
      <w:pPr>
        <w:spacing w:before="100" w:after="100" w:line="240" w:lineRule="exact"/>
        <w:jc w:val="left"/>
        <w:rPr>
          <w:rFonts w:ascii="宋体" w:hAnsi="宋体" w:cs="宋体"/>
          <w:sz w:val="18"/>
          <w:szCs w:val="18"/>
        </w:rPr>
      </w:pPr>
      <w:r>
        <w:rPr>
          <w:rFonts w:ascii="宋体" w:hAnsi="宋体" w:cs="宋体"/>
          <w:sz w:val="18"/>
          <w:szCs w:val="18"/>
        </w:rPr>
        <w:t>前十名股东参与转融通业务出借股份情况</w:t>
      </w:r>
    </w:p>
    <w:p>
      <w:pPr>
        <w:spacing w:line="240" w:lineRule="exact"/>
        <w:jc w:val="left"/>
        <w:rPr>
          <w:rFonts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pPr>
        <w:spacing w:before="100" w:after="100" w:line="240" w:lineRule="exact"/>
        <w:jc w:val="left"/>
        <w:rPr>
          <w:rFonts w:ascii="宋体" w:hAnsi="宋体" w:cs="宋体"/>
          <w:sz w:val="18"/>
          <w:szCs w:val="18"/>
        </w:rPr>
      </w:pPr>
      <w:r>
        <w:rPr>
          <w:rFonts w:ascii="宋体" w:hAnsi="宋体" w:cs="宋体"/>
          <w:sz w:val="18"/>
          <w:szCs w:val="18"/>
        </w:rPr>
        <w:t>前十名股东较上期发生变化</w:t>
      </w:r>
    </w:p>
    <w:p>
      <w:pPr>
        <w:spacing w:line="240" w:lineRule="exact"/>
        <w:jc w:val="left"/>
        <w:rPr>
          <w:rFonts w:ascii="宋体" w:hAnsi="宋体" w:cs="宋体"/>
          <w:sz w:val="18"/>
          <w:szCs w:val="18"/>
        </w:rPr>
      </w:pPr>
      <w:r>
        <w:rPr>
          <w:rFonts w:ascii="宋体" w:hAnsi="宋体" w:cs="宋体"/>
          <w:sz w:val="18"/>
          <w:szCs w:val="18"/>
        </w:rPr>
        <w:sym w:font="Wingdings 2" w:char="F052"/>
      </w:r>
      <w:r>
        <w:rPr>
          <w:rFonts w:ascii="宋体" w:hAnsi="宋体" w:cs="宋体"/>
          <w:sz w:val="18"/>
          <w:szCs w:val="18"/>
        </w:rPr>
        <w:t>适用 □不适用</w:t>
      </w:r>
    </w:p>
    <w:p>
      <w:pPr>
        <w:spacing w:before="120" w:after="120" w:line="240" w:lineRule="exact"/>
        <w:jc w:val="right"/>
        <w:rPr>
          <w:rFonts w:ascii="宋体" w:hAnsi="宋体" w:cs="宋体"/>
          <w:sz w:val="18"/>
          <w:szCs w:val="18"/>
        </w:rPr>
      </w:pPr>
      <w:r>
        <w:rPr>
          <w:rFonts w:ascii="宋体" w:hAnsi="宋体" w:cs="宋体"/>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6"/>
        <w:gridCol w:w="16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cs="宋体"/>
                <w:szCs w:val="21"/>
              </w:rPr>
            </w:pPr>
            <w:bookmarkStart w:id="9" w:name="_Toc988898"/>
            <w:r>
              <w:rPr>
                <w:rFonts w:ascii="宋体" w:hAnsi="宋体" w:cs="宋体"/>
                <w:szCs w:val="21"/>
              </w:rPr>
              <w:t>前十名股东较上期末发生变化情况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股东名称（全称）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本报告期新增/退出</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期末转融通出借股份且尚未归还数量</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期末股东普通账户、信用账户持股及转融通出借股份且尚未归还的股份数量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szCs w:val="21"/>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数量合计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占总股本的比例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数量合计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szCs w:val="21"/>
              </w:rPr>
            </w:pPr>
            <w:r>
              <w:rPr>
                <w:szCs w:val="21"/>
              </w:rPr>
              <w:t>占总股本的比例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香港中央结算有限公司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新增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9,443,886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丁建宏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szCs w:val="21"/>
              </w:rPr>
            </w:pPr>
            <w:r>
              <w:rPr>
                <w:szCs w:val="21"/>
              </w:rPr>
              <w:t>退出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4,535,827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szCs w:val="21"/>
              </w:rPr>
            </w:pPr>
            <w:r>
              <w:rPr>
                <w:szCs w:val="21"/>
              </w:rPr>
              <w:t>0.48%</w:t>
            </w:r>
          </w:p>
        </w:tc>
      </w:tr>
    </w:tbl>
    <w:p>
      <w:pPr>
        <w:keepNext/>
        <w:keepLines/>
        <w:spacing w:before="300" w:after="300" w:line="280" w:lineRule="exact"/>
        <w:jc w:val="left"/>
        <w:outlineLvl w:val="3"/>
        <w:rPr>
          <w:rFonts w:ascii="宋体" w:hAnsi="宋体" w:cs="宋体"/>
          <w:b/>
          <w:bCs/>
          <w:sz w:val="18"/>
          <w:szCs w:val="18"/>
        </w:rPr>
      </w:pPr>
      <w:r>
        <w:rPr>
          <w:rFonts w:ascii="宋体" w:hAnsi="宋体" w:cs="宋体"/>
          <w:b/>
          <w:bCs/>
          <w:sz w:val="18"/>
          <w:szCs w:val="18"/>
        </w:rPr>
        <w:t>（2） 公司优先股股东总数及前10名优先股股东持股情况表</w:t>
      </w:r>
      <w:bookmarkEnd w:id="9"/>
    </w:p>
    <w:p>
      <w:pPr>
        <w:spacing w:before="40" w:after="40" w:line="240" w:lineRule="exact"/>
        <w:jc w:val="left"/>
        <w:rPr>
          <w:rFonts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pPr>
        <w:spacing w:before="100" w:after="100" w:line="240" w:lineRule="exact"/>
        <w:jc w:val="left"/>
        <w:rPr>
          <w:rFonts w:ascii="宋体" w:hAnsi="宋体" w:cs="宋体"/>
          <w:sz w:val="18"/>
          <w:szCs w:val="18"/>
        </w:rPr>
      </w:pPr>
      <w:r>
        <w:rPr>
          <w:rFonts w:ascii="宋体" w:hAnsi="宋体" w:cs="宋体"/>
          <w:sz w:val="18"/>
          <w:szCs w:val="18"/>
        </w:rPr>
        <w:t>公司报告期无优先股股东持股情况。</w:t>
      </w:r>
    </w:p>
    <w:p>
      <w:pPr>
        <w:keepNext/>
        <w:keepLines/>
        <w:numPr>
          <w:ilvl w:val="0"/>
          <w:numId w:val="1"/>
        </w:numPr>
        <w:spacing w:before="300" w:after="300" w:line="280" w:lineRule="exact"/>
        <w:jc w:val="left"/>
        <w:outlineLvl w:val="3"/>
        <w:rPr>
          <w:rFonts w:ascii="宋体" w:hAnsi="宋体" w:cs="宋体"/>
          <w:b/>
          <w:bCs/>
          <w:sz w:val="18"/>
          <w:szCs w:val="18"/>
        </w:rPr>
      </w:pPr>
      <w:bookmarkStart w:id="10" w:name="_Toc988899"/>
      <w:r>
        <w:rPr>
          <w:rFonts w:ascii="宋体" w:hAnsi="宋体" w:cs="宋体"/>
          <w:b/>
          <w:bCs/>
          <w:sz w:val="18"/>
          <w:szCs w:val="18"/>
        </w:rPr>
        <w:t>以方框图形式披露公司与实际控制人之间的产权及控制关系</w:t>
      </w:r>
      <w:bookmarkEnd w:id="10"/>
    </w:p>
    <w:p>
      <w:pPr>
        <w:pStyle w:val="2"/>
        <w:ind w:left="0" w:leftChars="0" w:firstLine="0" w:firstLineChars="0"/>
      </w:pPr>
      <w:r>
        <w:rPr>
          <w:rFonts w:hint="eastAsia" w:ascii="宋体" w:hAnsi="宋体" w:cs="宋体"/>
          <w:szCs w:val="21"/>
        </w:rPr>
        <w:drawing>
          <wp:inline distT="0" distB="0" distL="114300" distR="114300">
            <wp:extent cx="4591050" cy="3448050"/>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591050" cy="3448050"/>
                    </a:xfrm>
                    <a:prstGeom prst="rect">
                      <a:avLst/>
                    </a:prstGeom>
                  </pic:spPr>
                </pic:pic>
              </a:graphicData>
            </a:graphic>
          </wp:inline>
        </w:drawing>
      </w:r>
    </w:p>
    <w:p>
      <w:pPr>
        <w:spacing w:before="40" w:after="40" w:line="0" w:lineRule="atLeast"/>
      </w:pPr>
    </w:p>
    <w:p>
      <w:pPr>
        <w:keepNext/>
        <w:keepLines/>
        <w:spacing w:before="300" w:after="300" w:line="280" w:lineRule="exact"/>
        <w:jc w:val="left"/>
        <w:outlineLvl w:val="2"/>
        <w:rPr>
          <w:rFonts w:ascii="宋体" w:hAnsi="宋体" w:cs="宋体"/>
          <w:b/>
          <w:bCs/>
          <w:szCs w:val="21"/>
        </w:rPr>
      </w:pPr>
      <w:bookmarkStart w:id="11" w:name="_Toc988900"/>
      <w:r>
        <w:rPr>
          <w:rFonts w:ascii="宋体" w:hAnsi="宋体" w:cs="宋体"/>
          <w:b/>
          <w:bCs/>
          <w:szCs w:val="21"/>
        </w:rPr>
        <w:t>5、在年度报告批准报出日存续的债券情况</w:t>
      </w:r>
      <w:bookmarkEnd w:id="11"/>
    </w:p>
    <w:p>
      <w:pPr>
        <w:spacing w:before="100" w:after="100" w:line="240" w:lineRule="exact"/>
        <w:jc w:val="left"/>
        <w:rPr>
          <w:rFonts w:ascii="宋体" w:hAnsi="宋体" w:cs="宋体"/>
          <w:sz w:val="18"/>
          <w:szCs w:val="18"/>
        </w:rPr>
      </w:pPr>
      <w:r>
        <w:rPr>
          <w:rFonts w:ascii="宋体" w:hAnsi="宋体" w:cs="宋体"/>
          <w:sz w:val="18"/>
          <w:szCs w:val="18"/>
        </w:rPr>
        <w:t xml:space="preserve">□适用 </w:t>
      </w:r>
      <w:r>
        <w:rPr>
          <w:rFonts w:ascii="宋体" w:hAnsi="宋体" w:cs="宋体"/>
          <w:sz w:val="18"/>
          <w:szCs w:val="18"/>
        </w:rPr>
        <w:sym w:font="Wingdings 2" w:char="F052"/>
      </w:r>
      <w:r>
        <w:rPr>
          <w:rFonts w:ascii="宋体" w:hAnsi="宋体" w:cs="宋体"/>
          <w:sz w:val="18"/>
          <w:szCs w:val="18"/>
        </w:rPr>
        <w:t>不适用</w:t>
      </w:r>
    </w:p>
    <w:p>
      <w:pPr>
        <w:keepNext/>
        <w:keepLines/>
        <w:spacing w:before="300" w:after="300" w:line="320" w:lineRule="exact"/>
        <w:jc w:val="left"/>
        <w:outlineLvl w:val="1"/>
        <w:rPr>
          <w:rFonts w:ascii="宋体" w:hAnsi="宋体" w:cs="宋体"/>
          <w:b/>
          <w:bCs/>
          <w:sz w:val="24"/>
          <w:szCs w:val="24"/>
        </w:rPr>
      </w:pPr>
      <w:bookmarkStart w:id="12" w:name="_Toc988901"/>
      <w:r>
        <w:rPr>
          <w:rFonts w:ascii="宋体" w:hAnsi="宋体" w:cs="宋体"/>
          <w:b/>
          <w:bCs/>
          <w:sz w:val="24"/>
          <w:szCs w:val="24"/>
        </w:rPr>
        <w:t>三、重要事项</w:t>
      </w:r>
      <w:bookmarkEnd w:id="12"/>
    </w:p>
    <w:p>
      <w:pPr>
        <w:pStyle w:val="3"/>
        <w:widowControl/>
        <w:rPr>
          <w:rFonts w:ascii="宋体" w:hAnsi="宋体" w:cs="宋体"/>
          <w:sz w:val="18"/>
          <w:szCs w:val="18"/>
        </w:rPr>
      </w:pPr>
      <w:r>
        <w:rPr>
          <w:rFonts w:hint="eastAsia" w:ascii="宋体" w:hAnsi="宋体" w:cs="宋体"/>
          <w:sz w:val="18"/>
          <w:szCs w:val="18"/>
        </w:rPr>
        <w:t>无</w:t>
      </w:r>
    </w:p>
    <w:p>
      <w:pPr>
        <w:pStyle w:val="3"/>
        <w:widowControl/>
        <w:rPr>
          <w:rFonts w:ascii="宋体" w:hAnsi="宋体" w:cs="宋体"/>
          <w:sz w:val="18"/>
          <w:szCs w:val="18"/>
        </w:rPr>
      </w:pPr>
    </w:p>
    <w:p>
      <w:pPr>
        <w:snapToGrid w:val="0"/>
        <w:spacing w:line="360" w:lineRule="auto"/>
        <w:ind w:firstLine="480" w:firstLineChars="200"/>
        <w:jc w:val="right"/>
        <w:rPr>
          <w:b/>
          <w:sz w:val="24"/>
          <w:szCs w:val="24"/>
        </w:rPr>
      </w:pPr>
      <w:r>
        <w:rPr>
          <w:b/>
          <w:sz w:val="24"/>
          <w:szCs w:val="24"/>
        </w:rPr>
        <w:t>中广核核技术发展股份有限公司</w:t>
      </w:r>
    </w:p>
    <w:p>
      <w:pPr>
        <w:snapToGrid w:val="0"/>
        <w:spacing w:line="360" w:lineRule="auto"/>
        <w:ind w:firstLine="480" w:firstLineChars="200"/>
        <w:jc w:val="right"/>
        <w:rPr>
          <w:b/>
          <w:sz w:val="24"/>
          <w:szCs w:val="24"/>
        </w:rPr>
      </w:pPr>
      <w:r>
        <w:rPr>
          <w:b/>
          <w:sz w:val="24"/>
          <w:szCs w:val="24"/>
        </w:rPr>
        <w:t>董事会</w:t>
      </w:r>
    </w:p>
    <w:p>
      <w:pPr>
        <w:snapToGrid w:val="0"/>
        <w:spacing w:line="360" w:lineRule="auto"/>
        <w:ind w:firstLine="480" w:firstLineChars="200"/>
        <w:jc w:val="right"/>
        <w:rPr>
          <w:b/>
          <w:sz w:val="24"/>
          <w:szCs w:val="24"/>
        </w:rPr>
      </w:pPr>
      <w:r>
        <w:rPr>
          <w:b/>
          <w:sz w:val="24"/>
          <w:szCs w:val="24"/>
        </w:rPr>
        <w:t>202</w:t>
      </w:r>
      <w:r>
        <w:rPr>
          <w:rFonts w:hint="eastAsia"/>
          <w:b/>
          <w:sz w:val="24"/>
          <w:szCs w:val="24"/>
        </w:rPr>
        <w:t>4</w:t>
      </w:r>
      <w:r>
        <w:rPr>
          <w:b/>
          <w:sz w:val="24"/>
          <w:szCs w:val="24"/>
        </w:rPr>
        <w:t>年</w:t>
      </w:r>
      <w:r>
        <w:rPr>
          <w:rFonts w:hint="eastAsia"/>
          <w:b/>
          <w:sz w:val="24"/>
          <w:szCs w:val="24"/>
        </w:rPr>
        <w:t>4</w:t>
      </w:r>
      <w:r>
        <w:rPr>
          <w:b/>
          <w:sz w:val="24"/>
          <w:szCs w:val="24"/>
        </w:rPr>
        <w:t>月</w:t>
      </w:r>
      <w:r>
        <w:rPr>
          <w:rFonts w:hint="eastAsia"/>
          <w:b/>
          <w:sz w:val="24"/>
          <w:szCs w:val="24"/>
        </w:rPr>
        <w:t>27</w:t>
      </w:r>
      <w:r>
        <w:rPr>
          <w:b/>
          <w:sz w:val="24"/>
          <w:szCs w:val="24"/>
        </w:rPr>
        <w:t>日</w:t>
      </w:r>
    </w:p>
    <w:p>
      <w:pPr>
        <w:pStyle w:val="3"/>
        <w:widowControl/>
        <w:rPr>
          <w:rFonts w:ascii="宋体" w:hAnsi="宋体" w:cs="宋体"/>
          <w:sz w:val="18"/>
          <w:szCs w:val="18"/>
        </w:rPr>
      </w:pPr>
    </w:p>
    <w:sectPr>
      <w:headerReference r:id="rId3" w:type="default"/>
      <w:footerReference r:id="rId4" w:type="default"/>
      <w:pgSz w:w="11905" w:h="16840"/>
      <w:pgMar w:top="850" w:right="1134" w:bottom="85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仿宋" w:eastAsia="仿宋"/>
        <w:szCs w:val="21"/>
      </w:rPr>
      <w:fldChar w:fldCharType="begin"/>
    </w:r>
    <w:r>
      <w:rPr>
        <w:rFonts w:ascii="仿宋" w:eastAsia="仿宋"/>
        <w:szCs w:val="21"/>
      </w:rPr>
      <w:instrText xml:space="preserve">PAGE   \* MERGEFORMAT</w:instrText>
    </w:r>
    <w:r>
      <w:rPr>
        <w:rFonts w:ascii="仿宋" w:eastAsia="仿宋"/>
        <w:szCs w:val="21"/>
      </w:rPr>
      <w:fldChar w:fldCharType="separate"/>
    </w:r>
    <w:r>
      <w:rPr>
        <w:rFonts w:ascii="仿宋" w:eastAsia="仿宋"/>
        <w:szCs w:val="21"/>
      </w:rPr>
      <w:t>7</w:t>
    </w:r>
    <w:r>
      <w:rPr>
        <w:rFonts w:ascii="仿宋" w:eastAsia="仿宋"/>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sz w:val="18"/>
        <w:szCs w:val="18"/>
      </w:rPr>
      <w:t>中广核核技术发展股份有限公司2023年年度报告摘要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2A07A"/>
    <w:multiLevelType w:val="singleLevel"/>
    <w:tmpl w:val="CDF2A07A"/>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characterSpacingControl w:val="doNotCompress"/>
  <w:compat>
    <w:doNotExpandShiftReturn/>
    <w:useFELayout/>
    <w:compatSetting w:name="compatibilityMode" w:uri="http://schemas.microsoft.com/office/word" w:val="14"/>
  </w:compat>
  <w:rsids>
    <w:rsidRoot w:val="00BF0E93"/>
    <w:rsid w:val="009151B0"/>
    <w:rsid w:val="00BF0E93"/>
    <w:rsid w:val="00CC5DE5"/>
    <w:rsid w:val="081D2789"/>
    <w:rsid w:val="18957B96"/>
    <w:rsid w:val="33AC32DA"/>
    <w:rsid w:val="3AE40220"/>
    <w:rsid w:val="518D066D"/>
    <w:rsid w:val="5749432E"/>
    <w:rsid w:val="7FA5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able of figures"/>
    <w:next w:val="1"/>
    <w:qFormat/>
    <w:uiPriority w:val="0"/>
    <w:pPr>
      <w:widowControl w:val="0"/>
      <w:spacing w:line="360" w:lineRule="auto"/>
      <w:ind w:left="200" w:leftChars="200" w:hanging="200" w:hangingChars="200"/>
      <w:jc w:val="both"/>
    </w:pPr>
    <w:rPr>
      <w:rFonts w:ascii="仿宋_GB2312" w:hAnsi="仿宋_GB2312" w:eastAsia="仿宋_GB2312" w:cs="Times New Roman"/>
      <w:snapToGrid w:val="0"/>
      <w:kern w:val="2"/>
      <w:sz w:val="36"/>
      <w:szCs w:val="22"/>
      <w:lang w:val="en-US" w:eastAsia="zh-CN" w:bidi="ar-SA"/>
    </w:rPr>
  </w:style>
  <w:style w:type="paragraph" w:styleId="3">
    <w:name w:val="Normal (Web)"/>
    <w:basedOn w:val="1"/>
    <w:qFormat/>
    <w:uiPriority w:val="0"/>
    <w:pPr>
      <w:spacing w:beforeAutospacing="1" w:afterAutospacing="1"/>
      <w:jc w:val="left"/>
    </w:pPr>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CIT</Company>
  <Pages>7</Pages>
  <Words>1002</Words>
  <Characters>5714</Characters>
  <Lines>47</Lines>
  <Paragraphs>13</Paragraphs>
  <TotalTime>1</TotalTime>
  <ScaleCrop>false</ScaleCrop>
  <LinksUpToDate>false</LinksUpToDate>
  <CharactersWithSpaces>6703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2024-04-25T01:49:00Z</dcterms:created>
  <dc:creator>P194919</dc:creator>
  <cp:lastModifiedBy>牟海涛</cp:lastModifiedBy>
  <dcterms:modified xsi:type="dcterms:W3CDTF">2024-04-25T11:58:19Z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